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1D197329"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w:t>
      </w:r>
      <w:r w:rsidR="00F26EAA">
        <w:rPr>
          <w:lang w:val="pt-BR"/>
        </w:rPr>
        <w:t>2</w:t>
      </w:r>
      <w:r w:rsidR="00E06F06">
        <w:rPr>
          <w:lang w:val="pt-BR"/>
        </w:rPr>
        <w:t>3bis</w:t>
      </w:r>
      <w:r w:rsidRPr="001907DE">
        <w:rPr>
          <w:lang w:val="pt-BR"/>
        </w:rPr>
        <w:tab/>
      </w:r>
      <w:r w:rsidR="00FB5F05" w:rsidRPr="00874A6D">
        <w:rPr>
          <w:sz w:val="28"/>
          <w:szCs w:val="28"/>
          <w:lang w:val="pt-BR"/>
        </w:rPr>
        <w:t>R2-2310753</w:t>
      </w:r>
    </w:p>
    <w:p w14:paraId="2E3E5B97" w14:textId="292287E8" w:rsidR="00F512BB" w:rsidRPr="00CE0424" w:rsidRDefault="009F7723" w:rsidP="00F512BB">
      <w:pPr>
        <w:pStyle w:val="3GPPHeader"/>
      </w:pPr>
      <w:r>
        <w:t>Xiamen</w:t>
      </w:r>
      <w:r w:rsidR="007A7202">
        <w:t xml:space="preserve">, </w:t>
      </w:r>
      <w:r>
        <w:t>China</w:t>
      </w:r>
      <w:r w:rsidR="006201F0">
        <w:t xml:space="preserve">, </w:t>
      </w:r>
      <w:r w:rsidR="009E2C0D">
        <w:t>9th</w:t>
      </w:r>
      <w:r w:rsidR="00A81F9D">
        <w:rPr>
          <w:lang w:val="en-US"/>
        </w:rPr>
        <w:t xml:space="preserve"> </w:t>
      </w:r>
      <w:r w:rsidR="002103F2" w:rsidRPr="002103F2">
        <w:rPr>
          <w:lang w:val="en-US"/>
        </w:rPr>
        <w:t xml:space="preserve">– </w:t>
      </w:r>
      <w:r w:rsidR="009E2C0D">
        <w:rPr>
          <w:lang w:val="en-US"/>
        </w:rPr>
        <w:t>13</w:t>
      </w:r>
      <w:r w:rsidR="00353CFF">
        <w:rPr>
          <w:lang w:val="en-US"/>
        </w:rPr>
        <w:t>th</w:t>
      </w:r>
      <w:r w:rsidR="002103F2" w:rsidRPr="002103F2">
        <w:rPr>
          <w:lang w:val="en-US"/>
        </w:rPr>
        <w:t xml:space="preserve"> </w:t>
      </w:r>
      <w:r w:rsidR="009E2C0D">
        <w:rPr>
          <w:lang w:val="en-US"/>
        </w:rPr>
        <w:t>October</w:t>
      </w:r>
      <w:r w:rsidR="00D12A04">
        <w:rPr>
          <w:lang w:val="en-US"/>
        </w:rPr>
        <w:t xml:space="preserve"> </w:t>
      </w:r>
      <w:r w:rsidR="002103F2" w:rsidRPr="002103F2">
        <w:rPr>
          <w:lang w:val="en-US"/>
        </w:rPr>
        <w:t>202</w:t>
      </w:r>
      <w:r w:rsidR="00353CFF">
        <w:rPr>
          <w:lang w:val="en-US"/>
        </w:rPr>
        <w:t>3</w:t>
      </w:r>
    </w:p>
    <w:p w14:paraId="2BEC666A" w14:textId="77777777" w:rsidR="00E90E49" w:rsidRPr="00CE0424" w:rsidRDefault="00E90E49" w:rsidP="00357380">
      <w:pPr>
        <w:pStyle w:val="3GPPHeader"/>
      </w:pPr>
    </w:p>
    <w:p w14:paraId="2721CBB3" w14:textId="22BEF83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01387">
        <w:rPr>
          <w:sz w:val="22"/>
          <w:szCs w:val="22"/>
        </w:rPr>
        <w:t>7</w:t>
      </w:r>
      <w:r w:rsidR="00FE6705" w:rsidRPr="00FE6705">
        <w:rPr>
          <w:sz w:val="22"/>
          <w:szCs w:val="22"/>
        </w:rPr>
        <w:t>.14.4 Support of QoE measurements for NR-DC</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21799DC4" w:rsidR="00E90E49" w:rsidRPr="00CE0424" w:rsidRDefault="003D3C45" w:rsidP="00311702">
      <w:pPr>
        <w:pStyle w:val="3GPPHeader"/>
        <w:rPr>
          <w:sz w:val="22"/>
          <w:szCs w:val="22"/>
        </w:rPr>
      </w:pPr>
      <w:r>
        <w:rPr>
          <w:sz w:val="22"/>
          <w:szCs w:val="22"/>
        </w:rPr>
        <w:t>Title:</w:t>
      </w:r>
      <w:r w:rsidR="00E90E49" w:rsidRPr="00CE0424">
        <w:rPr>
          <w:sz w:val="22"/>
          <w:szCs w:val="22"/>
        </w:rPr>
        <w:tab/>
      </w:r>
      <w:r w:rsidR="003959BC" w:rsidRPr="003959BC">
        <w:rPr>
          <w:sz w:val="22"/>
          <w:szCs w:val="22"/>
        </w:rPr>
        <w:t xml:space="preserve">QoE </w:t>
      </w:r>
      <w:r w:rsidR="0074675F">
        <w:rPr>
          <w:sz w:val="22"/>
          <w:szCs w:val="22"/>
        </w:rPr>
        <w:t xml:space="preserve">measurements </w:t>
      </w:r>
      <w:r w:rsidR="003959BC" w:rsidRPr="003959BC">
        <w:rPr>
          <w:sz w:val="22"/>
          <w:szCs w:val="22"/>
        </w:rPr>
        <w:t>in NR-DC</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A8A2206" w14:textId="4D02D0B7" w:rsidR="00E04496" w:rsidRPr="00E04496" w:rsidRDefault="61263F67" w:rsidP="00E04496">
      <w:pPr>
        <w:jc w:val="both"/>
        <w:rPr>
          <w:rFonts w:ascii="Arial" w:hAnsi="Arial" w:cs="Arial"/>
          <w:lang w:val="en-US"/>
        </w:rPr>
      </w:pPr>
      <w:bookmarkStart w:id="1" w:name="_Ref178064866"/>
      <w:r w:rsidRPr="5875EB35">
        <w:rPr>
          <w:rFonts w:ascii="Arial" w:hAnsi="Arial" w:cs="Arial"/>
        </w:rPr>
        <w:t xml:space="preserve">As described in the WID on Enhancement on NR QoE management and optimizations for diverse services, NR-DC is one of the important commercial deployment scenarios for 5G networks and it is critical to support it in the NR QoE framework. Therefore, in the </w:t>
      </w:r>
      <w:r w:rsidR="7C68A084" w:rsidRPr="54682956">
        <w:rPr>
          <w:rFonts w:ascii="Arial" w:hAnsi="Arial" w:cs="Arial"/>
        </w:rPr>
        <w:t>R</w:t>
      </w:r>
      <w:r w:rsidRPr="54682956">
        <w:rPr>
          <w:rFonts w:ascii="Arial" w:hAnsi="Arial" w:cs="Arial"/>
          <w:lang w:val="en-US"/>
        </w:rPr>
        <w:t>el</w:t>
      </w:r>
      <w:r w:rsidRPr="5875EB35">
        <w:rPr>
          <w:rFonts w:ascii="Arial" w:hAnsi="Arial" w:cs="Arial"/>
          <w:lang w:val="en-US"/>
        </w:rPr>
        <w:t>-</w:t>
      </w:r>
      <w:r w:rsidRPr="5875EB35">
        <w:rPr>
          <w:rFonts w:ascii="Arial" w:hAnsi="Arial" w:cs="Arial"/>
        </w:rPr>
        <w:t xml:space="preserve">18 WID [1], the following objective is defined: </w:t>
      </w:r>
      <w:r w:rsidRPr="5875EB35">
        <w:rPr>
          <w:rFonts w:ascii="Arial" w:hAnsi="Arial" w:cs="Arial"/>
          <w:lang w:val="en-US"/>
        </w:rPr>
        <w:t xml:space="preserve">  </w:t>
      </w:r>
    </w:p>
    <w:p w14:paraId="7047E531" w14:textId="77777777" w:rsidR="00E04496" w:rsidRPr="00E04496" w:rsidRDefault="00E04496" w:rsidP="00E04496">
      <w:pPr>
        <w:numPr>
          <w:ilvl w:val="0"/>
          <w:numId w:val="23"/>
        </w:numPr>
        <w:spacing w:beforeLines="50" w:before="120" w:after="0"/>
        <w:jc w:val="both"/>
        <w:rPr>
          <w:rFonts w:eastAsia="SimSun"/>
          <w:bCs/>
          <w:lang w:eastAsia="zh-CN"/>
        </w:rPr>
      </w:pPr>
      <w:r w:rsidRPr="00E04496">
        <w:rPr>
          <w:rFonts w:eastAsia="SimSun"/>
          <w:bCs/>
          <w:lang w:eastAsia="zh-CN"/>
        </w:rPr>
        <w:t>Specify to support for QoE in NR-DC</w:t>
      </w:r>
      <w:r w:rsidRPr="00E04496">
        <w:rPr>
          <w:rFonts w:eastAsia="SimSun" w:hint="eastAsia"/>
          <w:bCs/>
          <w:lang w:eastAsia="zh-CN"/>
        </w:rPr>
        <w:t>, e.g. enable QoE reporting via SN</w:t>
      </w:r>
      <w:r w:rsidRPr="00E04496">
        <w:rPr>
          <w:rFonts w:eastAsia="SimSun"/>
          <w:bCs/>
          <w:lang w:eastAsia="zh-CN"/>
        </w:rPr>
        <w:t xml:space="preserve"> [RAN3, RAN2].</w:t>
      </w:r>
    </w:p>
    <w:p w14:paraId="11307EAB" w14:textId="5721B215" w:rsidR="00E04496" w:rsidRPr="00E04496" w:rsidRDefault="00E04496" w:rsidP="00BA3519">
      <w:pPr>
        <w:numPr>
          <w:ilvl w:val="0"/>
          <w:numId w:val="24"/>
        </w:numPr>
        <w:spacing w:after="0"/>
        <w:ind w:left="720"/>
        <w:rPr>
          <w:rFonts w:eastAsia="SimSun"/>
          <w:bCs/>
          <w:lang w:eastAsia="zh-CN"/>
        </w:rPr>
      </w:pPr>
      <w:r w:rsidRPr="00E04496">
        <w:rPr>
          <w:rFonts w:eastAsia="SimSun"/>
          <w:lang w:eastAsia="en-GB"/>
        </w:rPr>
        <w:t>Specify the QoE configuration,</w:t>
      </w:r>
      <w:r w:rsidRPr="00E04496">
        <w:rPr>
          <w:rFonts w:eastAsia="SimSun" w:hint="eastAsia"/>
          <w:lang w:val="en-US" w:eastAsia="zh-CN"/>
        </w:rPr>
        <w:t xml:space="preserve"> and</w:t>
      </w:r>
      <w:r w:rsidRPr="00E04496">
        <w:rPr>
          <w:rFonts w:eastAsia="SimSun"/>
          <w:lang w:eastAsia="en-GB"/>
        </w:rPr>
        <w:t xml:space="preserve"> measurement reporting over MN/SN for NR-DC </w:t>
      </w:r>
      <w:r w:rsidR="00646AFE" w:rsidRPr="00E04496">
        <w:rPr>
          <w:rFonts w:eastAsia="SimSun"/>
          <w:lang w:eastAsia="en-GB"/>
        </w:rPr>
        <w:t>architecture and</w:t>
      </w:r>
      <w:r w:rsidRPr="00E04496">
        <w:rPr>
          <w:rFonts w:eastAsia="SimSun"/>
          <w:lang w:eastAsia="en-GB"/>
        </w:rPr>
        <w:t xml:space="preserve"> specify the QoE measurement reporting over the other DC leg </w:t>
      </w:r>
      <w:r w:rsidRPr="00E04496">
        <w:rPr>
          <w:rFonts w:eastAsia="SimSun" w:hint="eastAsia"/>
          <w:lang w:val="en-US" w:eastAsia="zh-CN"/>
        </w:rPr>
        <w:t>in order to maintain the reporting continuity</w:t>
      </w:r>
      <w:r w:rsidRPr="00E04496">
        <w:rPr>
          <w:rFonts w:eastAsia="SimSun"/>
          <w:lang w:eastAsia="en-GB"/>
        </w:rPr>
        <w:t>.</w:t>
      </w:r>
    </w:p>
    <w:p w14:paraId="0C780EF6" w14:textId="77777777" w:rsidR="00E04496" w:rsidRPr="00E04496" w:rsidRDefault="00E04496" w:rsidP="00E04496">
      <w:pPr>
        <w:spacing w:after="0"/>
        <w:ind w:left="720"/>
        <w:rPr>
          <w:rFonts w:eastAsia="SimSun"/>
          <w:bCs/>
          <w:lang w:eastAsia="zh-CN"/>
        </w:rPr>
      </w:pPr>
      <w:r w:rsidRPr="00E04496">
        <w:rPr>
          <w:rFonts w:eastAsia="SimSun"/>
          <w:bCs/>
          <w:lang w:eastAsia="zh-CN"/>
        </w:rPr>
        <w:t>Note 1: The QoE measurements are not perform</w:t>
      </w:r>
      <w:r w:rsidRPr="00E04496">
        <w:rPr>
          <w:rFonts w:eastAsia="SimSun" w:hint="eastAsia"/>
          <w:bCs/>
          <w:lang w:val="en-US" w:eastAsia="zh-CN"/>
        </w:rPr>
        <w:t>ed separately</w:t>
      </w:r>
      <w:r w:rsidRPr="00E04496">
        <w:rPr>
          <w:rFonts w:eastAsia="SimSun"/>
          <w:bCs/>
          <w:lang w:eastAsia="zh-CN"/>
        </w:rPr>
        <w:t xml:space="preserve"> for </w:t>
      </w:r>
      <w:r w:rsidRPr="00E04496">
        <w:rPr>
          <w:rFonts w:eastAsia="SimSun" w:hint="eastAsia"/>
          <w:bCs/>
          <w:lang w:val="en-US" w:eastAsia="zh-CN"/>
        </w:rPr>
        <w:t xml:space="preserve">each </w:t>
      </w:r>
      <w:r w:rsidRPr="00E04496">
        <w:rPr>
          <w:rFonts w:eastAsia="SimSun"/>
          <w:bCs/>
          <w:lang w:eastAsia="zh-CN"/>
        </w:rPr>
        <w:t>leg.</w:t>
      </w:r>
    </w:p>
    <w:p w14:paraId="74E2A69E" w14:textId="77777777" w:rsidR="00E04496" w:rsidRPr="00E04496" w:rsidRDefault="00E04496" w:rsidP="00BA3519">
      <w:pPr>
        <w:numPr>
          <w:ilvl w:val="0"/>
          <w:numId w:val="24"/>
        </w:numPr>
        <w:spacing w:after="0"/>
        <w:ind w:left="720"/>
        <w:rPr>
          <w:rFonts w:eastAsia="SimSun"/>
          <w:bCs/>
          <w:lang w:eastAsia="zh-CN"/>
        </w:rPr>
      </w:pPr>
      <w:r w:rsidRPr="00E04496">
        <w:rPr>
          <w:rFonts w:eastAsia="SimSun"/>
          <w:bCs/>
          <w:lang w:eastAsia="zh-CN"/>
        </w:rPr>
        <w:t xml:space="preserve">Support RAN-visible </w:t>
      </w:r>
      <w:r w:rsidRPr="00E04496">
        <w:rPr>
          <w:rFonts w:eastAsia="SimSun" w:hint="eastAsia"/>
          <w:bCs/>
          <w:lang w:val="en-US" w:eastAsia="zh-CN"/>
        </w:rPr>
        <w:t xml:space="preserve">QoE </w:t>
      </w:r>
      <w:r w:rsidRPr="00E04496">
        <w:rPr>
          <w:rFonts w:eastAsia="SimSun"/>
          <w:bCs/>
          <w:lang w:eastAsia="zh-CN"/>
        </w:rPr>
        <w:t>and radio related measurement configuration and reporting in NR-DC scenarios.</w:t>
      </w:r>
    </w:p>
    <w:p w14:paraId="361EDE88" w14:textId="77777777" w:rsidR="00E04496" w:rsidRPr="00E04496" w:rsidRDefault="00E04496" w:rsidP="00BA3519">
      <w:pPr>
        <w:numPr>
          <w:ilvl w:val="0"/>
          <w:numId w:val="24"/>
        </w:numPr>
        <w:spacing w:after="0"/>
        <w:ind w:left="720"/>
        <w:rPr>
          <w:rFonts w:eastAsia="SimSun"/>
          <w:bCs/>
          <w:lang w:eastAsia="zh-CN"/>
        </w:rPr>
      </w:pPr>
      <w:r w:rsidRPr="00E04496">
        <w:rPr>
          <w:rFonts w:eastAsia="SimSun"/>
          <w:lang w:eastAsia="en-GB"/>
        </w:rPr>
        <w:t>Specify the QoE measurement continuity in mobility scenarios in NR-DC</w:t>
      </w:r>
      <w:r w:rsidRPr="00E04496">
        <w:rPr>
          <w:rFonts w:eastAsia="SimSun"/>
          <w:bCs/>
          <w:lang w:eastAsia="zh-CN"/>
        </w:rPr>
        <w:t>.</w:t>
      </w:r>
    </w:p>
    <w:p w14:paraId="594BC6DF" w14:textId="77777777" w:rsidR="00E04496" w:rsidRPr="00E04496" w:rsidRDefault="00E04496" w:rsidP="00BA3519">
      <w:pPr>
        <w:numPr>
          <w:ilvl w:val="0"/>
          <w:numId w:val="24"/>
        </w:numPr>
        <w:spacing w:after="0"/>
        <w:ind w:left="720"/>
        <w:rPr>
          <w:lang w:val="en-US"/>
        </w:rPr>
      </w:pPr>
      <w:r w:rsidRPr="00E04496">
        <w:rPr>
          <w:rFonts w:eastAsia="SimSun"/>
          <w:lang w:eastAsia="en-GB"/>
        </w:rPr>
        <w:t>Specify the alignment of QoE</w:t>
      </w:r>
      <w:r w:rsidRPr="00E04496">
        <w:rPr>
          <w:rFonts w:eastAsia="SimSun" w:hint="eastAsia"/>
          <w:lang w:val="en-US" w:eastAsia="zh-CN"/>
        </w:rPr>
        <w:t xml:space="preserve"> measurements (including legacy QoE and RAN visible QoE measurements)</w:t>
      </w:r>
      <w:r w:rsidRPr="00E04496">
        <w:rPr>
          <w:rFonts w:eastAsia="SimSun"/>
          <w:lang w:eastAsia="en-GB"/>
        </w:rPr>
        <w:t xml:space="preserve"> and radio related measurement in NR-DC</w:t>
      </w:r>
      <w:r w:rsidRPr="00E04496">
        <w:rPr>
          <w:rFonts w:eastAsia="SimSun"/>
          <w:bCs/>
          <w:lang w:eastAsia="zh-CN"/>
        </w:rPr>
        <w:t>.</w:t>
      </w:r>
      <w:r w:rsidRPr="00E04496">
        <w:rPr>
          <w:rFonts w:eastAsia="SimSun"/>
          <w:bCs/>
          <w:lang w:eastAsia="zh-CN"/>
        </w:rPr>
        <w:br/>
      </w:r>
    </w:p>
    <w:p w14:paraId="4BF6EE6F" w14:textId="2589C546" w:rsidR="00124781" w:rsidRPr="00E06F06" w:rsidRDefault="00E04496" w:rsidP="00E06F06">
      <w:pPr>
        <w:rPr>
          <w:lang w:val="en-US"/>
        </w:rPr>
      </w:pPr>
      <w:r w:rsidRPr="00E04496">
        <w:rPr>
          <w:lang w:val="en-US"/>
        </w:rPr>
        <w:t>Note 4: When the support for QMC in NR-DC is completed, how to reuse the NR-DC solution for supporting QMC in EN-DC should be considered, if time permits.</w:t>
      </w:r>
    </w:p>
    <w:p w14:paraId="1047EC6A" w14:textId="12A2A040" w:rsidR="00E04496" w:rsidRPr="00E04496" w:rsidRDefault="00E04496" w:rsidP="00E04496">
      <w:pPr>
        <w:spacing w:after="120"/>
        <w:jc w:val="both"/>
        <w:rPr>
          <w:rFonts w:ascii="Arial" w:hAnsi="Arial" w:cs="Arial"/>
          <w:lang w:val="de-DE" w:eastAsia="zh-CN"/>
        </w:rPr>
      </w:pPr>
      <w:r w:rsidRPr="00E04496">
        <w:rPr>
          <w:rFonts w:ascii="Arial" w:hAnsi="Arial" w:cs="Arial"/>
          <w:color w:val="000000" w:themeColor="text1"/>
          <w:lang w:eastAsia="zh-CN"/>
        </w:rPr>
        <w:t xml:space="preserve">In this contribution, </w:t>
      </w:r>
      <w:r w:rsidR="00E06F06">
        <w:rPr>
          <w:rFonts w:ascii="Arial" w:hAnsi="Arial" w:cs="Arial"/>
          <w:color w:val="000000" w:themeColor="text1"/>
          <w:lang w:eastAsia="zh-CN"/>
        </w:rPr>
        <w:t xml:space="preserve">remaining open issues for </w:t>
      </w:r>
      <w:r w:rsidRPr="00E04496">
        <w:rPr>
          <w:rFonts w:ascii="Arial" w:hAnsi="Arial" w:cs="Arial"/>
          <w:color w:val="000000" w:themeColor="text1"/>
          <w:lang w:eastAsia="zh-CN"/>
        </w:rPr>
        <w:t>QoE for NR-DC is discussed</w:t>
      </w:r>
      <w:r w:rsidRPr="00E04496">
        <w:rPr>
          <w:rFonts w:ascii="Arial" w:hAnsi="Arial" w:cs="Arial"/>
          <w:lang w:val="de-DE" w:eastAsia="zh-CN"/>
        </w:rPr>
        <w:t xml:space="preserve">. </w:t>
      </w:r>
    </w:p>
    <w:p w14:paraId="0D745D99" w14:textId="70115A70" w:rsidR="00262B9D" w:rsidRPr="005071E3" w:rsidRDefault="00230D18" w:rsidP="005071E3">
      <w:pPr>
        <w:pStyle w:val="Heading1"/>
      </w:pPr>
      <w:r>
        <w:t>2</w:t>
      </w:r>
      <w:r>
        <w:tab/>
      </w:r>
      <w:r w:rsidR="004000E8" w:rsidRPr="00CE0424">
        <w:t>Discussion</w:t>
      </w:r>
      <w:bookmarkEnd w:id="1"/>
    </w:p>
    <w:p w14:paraId="0193A603" w14:textId="01D0F207" w:rsidR="005E5615" w:rsidRDefault="005E5615" w:rsidP="005E5615">
      <w:pPr>
        <w:pStyle w:val="Heading2"/>
      </w:pPr>
      <w:bookmarkStart w:id="2" w:name="_Hlk134176434"/>
      <w:r w:rsidRPr="00AA66E5">
        <w:t>2.</w:t>
      </w:r>
      <w:r>
        <w:t>1</w:t>
      </w:r>
      <w:r w:rsidRPr="00AA66E5">
        <w:tab/>
      </w:r>
      <w:r w:rsidR="003D3146">
        <w:t>SCG release</w:t>
      </w:r>
      <w:bookmarkEnd w:id="2"/>
      <w:r>
        <w:t xml:space="preserve"> </w:t>
      </w:r>
    </w:p>
    <w:p w14:paraId="7C64AC85" w14:textId="77777777" w:rsidR="00605CEC" w:rsidRDefault="00605CEC" w:rsidP="00BB52F5">
      <w:pPr>
        <w:rPr>
          <w:rFonts w:ascii="Arial" w:hAnsi="Arial" w:cs="Arial"/>
        </w:rPr>
      </w:pPr>
      <w:r>
        <w:rPr>
          <w:rFonts w:ascii="Arial" w:hAnsi="Arial" w:cs="Arial"/>
        </w:rPr>
        <w:t>In RAN2#123, the following agreement related to SCG was taken:</w:t>
      </w:r>
    </w:p>
    <w:p w14:paraId="2AAE9337" w14:textId="17A17606" w:rsidR="008A5651" w:rsidRPr="003A6BBA" w:rsidRDefault="008A5651" w:rsidP="008A5651">
      <w:pPr>
        <w:pStyle w:val="Agreement"/>
        <w:tabs>
          <w:tab w:val="num" w:pos="1619"/>
        </w:tabs>
        <w:spacing w:line="240" w:lineRule="auto"/>
      </w:pPr>
      <w:r w:rsidRPr="003A6BBA">
        <w:t xml:space="preserve">6: When SN is released, </w:t>
      </w:r>
      <w:bookmarkStart w:id="3" w:name="_Hlk145592395"/>
      <w:r w:rsidRPr="003A6BBA">
        <w:t xml:space="preserve">UE is indicated which QoE configurations should be released </w:t>
      </w:r>
      <w:r w:rsidRPr="008A5651">
        <w:t xml:space="preserve">or </w:t>
      </w:r>
      <w:r w:rsidRPr="008A5651">
        <w:rPr>
          <w:highlight w:val="yellow"/>
        </w:rPr>
        <w:t>kept</w:t>
      </w:r>
      <w:bookmarkEnd w:id="3"/>
      <w:r w:rsidRPr="003A6BBA">
        <w:t>. For released configurations, UE indicates the release to upper layers (as in Rel-17)</w:t>
      </w:r>
    </w:p>
    <w:p w14:paraId="2B724211" w14:textId="77777777" w:rsidR="00605CEC" w:rsidRDefault="00605CEC" w:rsidP="00BB52F5">
      <w:pPr>
        <w:rPr>
          <w:rFonts w:ascii="Arial" w:hAnsi="Arial" w:cs="Arial"/>
        </w:rPr>
      </w:pPr>
    </w:p>
    <w:p w14:paraId="17A423A5" w14:textId="47451141" w:rsidR="008A5651" w:rsidRDefault="008A5651" w:rsidP="00BB52F5">
      <w:pPr>
        <w:rPr>
          <w:rFonts w:ascii="Arial" w:hAnsi="Arial" w:cs="Arial"/>
        </w:rPr>
      </w:pPr>
      <w:r>
        <w:rPr>
          <w:rFonts w:ascii="Arial" w:hAnsi="Arial" w:cs="Arial"/>
        </w:rPr>
        <w:t xml:space="preserve">There is an issue with this agreement from a network point of view, especially the part with QoE configurations being kept. When the SCG is released, all configurations related to the SCG are also released. If any QoE configurations related to the SCG should be kept, they would need to be handed over to the MN first. This requires network coordination </w:t>
      </w:r>
      <w:r w:rsidR="00401EC9">
        <w:rPr>
          <w:rFonts w:ascii="Arial" w:hAnsi="Arial" w:cs="Arial"/>
        </w:rPr>
        <w:t xml:space="preserve">which currently does not exist. There is an FFS in RAN3 whether it will be </w:t>
      </w:r>
      <w:r w:rsidR="00DD1804">
        <w:rPr>
          <w:rFonts w:ascii="Arial" w:hAnsi="Arial" w:cs="Arial"/>
        </w:rPr>
        <w:t>possible or not:</w:t>
      </w:r>
    </w:p>
    <w:p w14:paraId="3D61965F" w14:textId="77777777" w:rsidR="00DD1804" w:rsidRPr="00590CAA" w:rsidRDefault="00DD1804" w:rsidP="00DD1804">
      <w:pPr>
        <w:spacing w:after="100" w:afterAutospacing="1"/>
        <w:rPr>
          <w:rFonts w:eastAsia="MS Mincho"/>
          <w:i/>
          <w:iCs/>
          <w:color w:val="00B050"/>
          <w:kern w:val="2"/>
          <w:lang w:eastAsia="en-US"/>
        </w:rPr>
      </w:pPr>
      <w:r w:rsidRPr="00590CAA">
        <w:rPr>
          <w:rFonts w:eastAsia="MS Mincho"/>
          <w:i/>
          <w:iCs/>
          <w:color w:val="00B050"/>
          <w:kern w:val="2"/>
          <w:lang w:eastAsia="en-US"/>
        </w:rPr>
        <w:t>If the SN configured a UE with QoE measurements, at SN release, the QoE/RVQoE configuration can be released. Whether the SN-configured QoE/RVQoE configuration information can be passed to the MN in case of SN release needs to be further discussed.</w:t>
      </w:r>
    </w:p>
    <w:p w14:paraId="5FBB4350" w14:textId="6C00A7AC" w:rsidR="00340AC4" w:rsidRDefault="00861CD2" w:rsidP="00BB52F5">
      <w:pPr>
        <w:rPr>
          <w:rFonts w:ascii="Arial" w:hAnsi="Arial" w:cs="Arial"/>
        </w:rPr>
      </w:pPr>
      <w:r>
        <w:rPr>
          <w:rFonts w:ascii="Arial" w:hAnsi="Arial" w:cs="Arial"/>
        </w:rPr>
        <w:lastRenderedPageBreak/>
        <w:t xml:space="preserve">If RAN3 agrees that QoE configurations cannot be kept at SCG release, it doesn’t seem necessary to release the SN QoE configurations </w:t>
      </w:r>
      <w:r w:rsidR="002B2911">
        <w:rPr>
          <w:rFonts w:ascii="Arial" w:hAnsi="Arial" w:cs="Arial"/>
        </w:rPr>
        <w:t xml:space="preserve">explicitly </w:t>
      </w:r>
      <w:r>
        <w:rPr>
          <w:rFonts w:ascii="Arial" w:hAnsi="Arial" w:cs="Arial"/>
        </w:rPr>
        <w:t xml:space="preserve">as </w:t>
      </w:r>
      <w:r w:rsidR="00AE05E6">
        <w:rPr>
          <w:rFonts w:ascii="Arial" w:hAnsi="Arial" w:cs="Arial"/>
        </w:rPr>
        <w:t xml:space="preserve">all would need to be released anyhow. In this case, it would be easier that the UE </w:t>
      </w:r>
      <w:r w:rsidR="0067387F">
        <w:rPr>
          <w:rFonts w:ascii="Arial" w:hAnsi="Arial" w:cs="Arial"/>
        </w:rPr>
        <w:t>just releases all SN QoE configurations at SCG release, without the network having to explicitly release them.</w:t>
      </w:r>
    </w:p>
    <w:p w14:paraId="30FC64A8" w14:textId="77777777" w:rsidR="00090A0A" w:rsidRDefault="00340AC4" w:rsidP="00BB52F5">
      <w:pPr>
        <w:rPr>
          <w:rFonts w:ascii="Arial" w:hAnsi="Arial" w:cs="Arial"/>
        </w:rPr>
      </w:pPr>
      <w:r>
        <w:rPr>
          <w:rFonts w:ascii="Arial" w:hAnsi="Arial" w:cs="Arial"/>
        </w:rPr>
        <w:t xml:space="preserve">Therefore, it is proposed to wait until RAN3 concludes on the open issue and until then </w:t>
      </w:r>
      <w:r w:rsidR="00090A0A">
        <w:rPr>
          <w:rFonts w:ascii="Arial" w:hAnsi="Arial" w:cs="Arial"/>
        </w:rPr>
        <w:t>keep the behaviour at SCG release FFS in RAN2.</w:t>
      </w:r>
    </w:p>
    <w:p w14:paraId="1D57F686" w14:textId="33368ECD" w:rsidR="00090A0A" w:rsidRDefault="00090A0A" w:rsidP="00090A0A">
      <w:pPr>
        <w:pStyle w:val="Observation"/>
      </w:pPr>
      <w:bookmarkStart w:id="4" w:name="_Toc145963350"/>
      <w:r>
        <w:t>The RAN2 agreement related to SN release may not be supported according to discussion in RAN3.</w:t>
      </w:r>
      <w:bookmarkEnd w:id="4"/>
    </w:p>
    <w:p w14:paraId="3C31737F" w14:textId="5ECE5C4D" w:rsidR="00AE05E6" w:rsidRDefault="162C86E7" w:rsidP="00E95643">
      <w:pPr>
        <w:pStyle w:val="Proposal"/>
        <w:ind w:left="1701" w:hanging="1701"/>
      </w:pPr>
      <w:bookmarkStart w:id="5" w:name="_Toc146686967"/>
      <w:r>
        <w:t>Wait for RAN3 progress related to</w:t>
      </w:r>
      <w:r w:rsidR="00090A0A">
        <w:t xml:space="preserve"> whether the UE is indicated which QoE configurations should be released or kept</w:t>
      </w:r>
      <w:r w:rsidR="0067387F">
        <w:t xml:space="preserve"> </w:t>
      </w:r>
      <w:r w:rsidR="00090A0A">
        <w:t>when the SN is released.</w:t>
      </w:r>
      <w:bookmarkEnd w:id="5"/>
    </w:p>
    <w:p w14:paraId="39863828" w14:textId="77777777" w:rsidR="004E49B7" w:rsidRDefault="004E49B7" w:rsidP="001816DA">
      <w:pPr>
        <w:rPr>
          <w:rFonts w:ascii="Arial" w:eastAsia="PMingLiU" w:hAnsi="Arial" w:cs="Arial"/>
          <w:lang w:eastAsia="zh-TW"/>
        </w:rPr>
      </w:pPr>
    </w:p>
    <w:p w14:paraId="268AD310" w14:textId="60A46E47" w:rsidR="004D1E09" w:rsidRDefault="004D1E09" w:rsidP="004D1E09">
      <w:pPr>
        <w:pStyle w:val="Heading2"/>
      </w:pPr>
      <w:r w:rsidRPr="00AA66E5">
        <w:t>2.</w:t>
      </w:r>
      <w:r>
        <w:t>2</w:t>
      </w:r>
      <w:r w:rsidRPr="00AA66E5">
        <w:tab/>
      </w:r>
      <w:r>
        <w:t xml:space="preserve">SCG </w:t>
      </w:r>
      <w:r w:rsidR="009450E7">
        <w:t>deactivat</w:t>
      </w:r>
      <w:r w:rsidR="00940122">
        <w:t>ion</w:t>
      </w:r>
    </w:p>
    <w:p w14:paraId="27F9EF7D" w14:textId="413B9BFE" w:rsidR="007402F2" w:rsidRDefault="007402F2" w:rsidP="008D47F6">
      <w:pPr>
        <w:rPr>
          <w:rFonts w:ascii="Arial" w:hAnsi="Arial" w:cs="Arial"/>
        </w:rPr>
      </w:pPr>
      <w:r>
        <w:rPr>
          <w:rFonts w:ascii="Arial" w:hAnsi="Arial" w:cs="Arial"/>
        </w:rPr>
        <w:t>In RAN2#123, the following agreement</w:t>
      </w:r>
      <w:r w:rsidR="0072782F">
        <w:rPr>
          <w:rFonts w:ascii="Arial" w:hAnsi="Arial" w:cs="Arial"/>
        </w:rPr>
        <w:t>s</w:t>
      </w:r>
      <w:r>
        <w:rPr>
          <w:rFonts w:ascii="Arial" w:hAnsi="Arial" w:cs="Arial"/>
        </w:rPr>
        <w:t xml:space="preserve"> w</w:t>
      </w:r>
      <w:r w:rsidR="0072782F">
        <w:rPr>
          <w:rFonts w:ascii="Arial" w:hAnsi="Arial" w:cs="Arial"/>
        </w:rPr>
        <w:t>ere</w:t>
      </w:r>
      <w:r>
        <w:rPr>
          <w:rFonts w:ascii="Arial" w:hAnsi="Arial" w:cs="Arial"/>
        </w:rPr>
        <w:t xml:space="preserve"> made:</w:t>
      </w:r>
    </w:p>
    <w:p w14:paraId="026FAE9D" w14:textId="05F9B201" w:rsidR="00CA67D5" w:rsidRPr="00CA67D5" w:rsidRDefault="00CA67D5" w:rsidP="004C3C88">
      <w:pPr>
        <w:pStyle w:val="Agreement"/>
        <w:tabs>
          <w:tab w:val="num" w:pos="1619"/>
        </w:tabs>
        <w:spacing w:line="240" w:lineRule="auto"/>
        <w:rPr>
          <w:rFonts w:cs="Arial"/>
        </w:rPr>
      </w:pPr>
      <w:r>
        <w:t xml:space="preserve">Follow Rel-17 principles: UE indicates data availability for </w:t>
      </w:r>
      <w:r w:rsidRPr="00CA67D5">
        <w:rPr>
          <w:u w:val="single"/>
        </w:rPr>
        <w:t>DRBs</w:t>
      </w:r>
      <w:r>
        <w:t xml:space="preserve"> when requesting SCG activation. It is up to NW implementation to map SRB5 to MN or pause QoE reporting when SCG is deactivated. FFS whether this requires any specification impacts.</w:t>
      </w:r>
    </w:p>
    <w:p w14:paraId="60914644" w14:textId="77777777" w:rsidR="007402F2" w:rsidRDefault="007402F2" w:rsidP="007402F2">
      <w:pPr>
        <w:pStyle w:val="Agreement"/>
        <w:tabs>
          <w:tab w:val="num" w:pos="1619"/>
        </w:tabs>
        <w:spacing w:line="240" w:lineRule="auto"/>
      </w:pPr>
      <w:r>
        <w:t>UE should not request to activate SCG only for the purpose of QoE reporting via SRB5. FFS for RVQoE reporting.</w:t>
      </w:r>
    </w:p>
    <w:p w14:paraId="16B5EA97" w14:textId="77777777" w:rsidR="007402F2" w:rsidRDefault="007402F2" w:rsidP="008D47F6">
      <w:pPr>
        <w:rPr>
          <w:rFonts w:ascii="Arial" w:hAnsi="Arial" w:cs="Arial"/>
        </w:rPr>
      </w:pPr>
    </w:p>
    <w:p w14:paraId="304FAC0B" w14:textId="5F2EF798" w:rsidR="00CA67D5" w:rsidRDefault="00CA67D5" w:rsidP="008D47F6">
      <w:pPr>
        <w:rPr>
          <w:rFonts w:ascii="Arial" w:hAnsi="Arial" w:cs="Arial"/>
        </w:rPr>
      </w:pPr>
      <w:r>
        <w:rPr>
          <w:rFonts w:ascii="Arial" w:hAnsi="Arial" w:cs="Arial"/>
        </w:rPr>
        <w:t xml:space="preserve">There is an FFS </w:t>
      </w:r>
      <w:r w:rsidR="00C50F27">
        <w:rPr>
          <w:rFonts w:ascii="Arial" w:hAnsi="Arial" w:cs="Arial"/>
        </w:rPr>
        <w:t xml:space="preserve">whether </w:t>
      </w:r>
      <w:r w:rsidR="0065495D">
        <w:rPr>
          <w:rFonts w:ascii="Arial" w:hAnsi="Arial" w:cs="Arial"/>
        </w:rPr>
        <w:t>it requires specification impact to reconfigure SN related QoE configurations to the MN in case the SCG is deactivated</w:t>
      </w:r>
      <w:r w:rsidR="000A7CB3">
        <w:rPr>
          <w:rFonts w:ascii="Arial" w:hAnsi="Arial" w:cs="Arial"/>
        </w:rPr>
        <w:t>.</w:t>
      </w:r>
      <w:r w:rsidR="00D75F70">
        <w:rPr>
          <w:rFonts w:ascii="Arial" w:hAnsi="Arial" w:cs="Arial"/>
        </w:rPr>
        <w:t xml:space="preserve"> </w:t>
      </w:r>
      <w:r w:rsidR="00313CA9">
        <w:rPr>
          <w:rFonts w:ascii="Arial" w:hAnsi="Arial" w:cs="Arial"/>
        </w:rPr>
        <w:t>R</w:t>
      </w:r>
      <w:r w:rsidR="00A7554F">
        <w:rPr>
          <w:rFonts w:ascii="Arial" w:hAnsi="Arial" w:cs="Arial"/>
        </w:rPr>
        <w:t xml:space="preserve">econfiguring the UE </w:t>
      </w:r>
      <w:r w:rsidR="00A87229">
        <w:rPr>
          <w:rFonts w:ascii="Arial" w:hAnsi="Arial" w:cs="Arial"/>
        </w:rPr>
        <w:t xml:space="preserve">needs to </w:t>
      </w:r>
      <w:r w:rsidR="00A7554F">
        <w:rPr>
          <w:rFonts w:ascii="Arial" w:hAnsi="Arial" w:cs="Arial"/>
        </w:rPr>
        <w:t xml:space="preserve">be proceeded by </w:t>
      </w:r>
      <w:r w:rsidR="00941BD7">
        <w:rPr>
          <w:rFonts w:ascii="Arial" w:hAnsi="Arial" w:cs="Arial"/>
        </w:rPr>
        <w:t>complex</w:t>
      </w:r>
      <w:r w:rsidR="001247A9">
        <w:rPr>
          <w:rFonts w:ascii="Arial" w:hAnsi="Arial" w:cs="Arial"/>
        </w:rPr>
        <w:t xml:space="preserve"> network signalling</w:t>
      </w:r>
      <w:r w:rsidR="00062924">
        <w:rPr>
          <w:rFonts w:ascii="Arial" w:hAnsi="Arial" w:cs="Arial"/>
        </w:rPr>
        <w:t xml:space="preserve"> especially in the case of MN initiated deactivation. </w:t>
      </w:r>
    </w:p>
    <w:p w14:paraId="11753527" w14:textId="486D2378" w:rsidR="00AC018B" w:rsidRDefault="00F3102B" w:rsidP="008D47F6">
      <w:pPr>
        <w:rPr>
          <w:rFonts w:ascii="Arial" w:hAnsi="Arial" w:cs="Arial"/>
        </w:rPr>
      </w:pPr>
      <w:r w:rsidRPr="3FA8E783">
        <w:rPr>
          <w:rFonts w:ascii="Arial" w:hAnsi="Arial" w:cs="Arial"/>
        </w:rPr>
        <w:t xml:space="preserve">In case of MN initiated SCG deactivation, the MN sends a request for deactivation to the SCG. </w:t>
      </w:r>
      <w:r w:rsidR="0065146B" w:rsidRPr="3FA8E783">
        <w:rPr>
          <w:rFonts w:ascii="Arial" w:hAnsi="Arial" w:cs="Arial"/>
        </w:rPr>
        <w:t xml:space="preserve">If the SN would like to reconfigure transmission of QoE reports to the MN, it would need to </w:t>
      </w:r>
      <w:r w:rsidR="00105C62" w:rsidRPr="3FA8E783">
        <w:rPr>
          <w:rFonts w:ascii="Arial" w:hAnsi="Arial" w:cs="Arial"/>
        </w:rPr>
        <w:t xml:space="preserve">reject the request </w:t>
      </w:r>
      <w:r w:rsidR="00330EAB" w:rsidRPr="3FA8E783">
        <w:rPr>
          <w:rFonts w:ascii="Arial" w:hAnsi="Arial" w:cs="Arial"/>
        </w:rPr>
        <w:t xml:space="preserve">for deactivation </w:t>
      </w:r>
      <w:r w:rsidR="00105C62" w:rsidRPr="3FA8E783">
        <w:rPr>
          <w:rFonts w:ascii="Arial" w:hAnsi="Arial" w:cs="Arial"/>
        </w:rPr>
        <w:t xml:space="preserve">from the MN. </w:t>
      </w:r>
      <w:r w:rsidR="00984694" w:rsidRPr="3FA8E783">
        <w:rPr>
          <w:rFonts w:ascii="Arial" w:hAnsi="Arial" w:cs="Arial"/>
        </w:rPr>
        <w:t xml:space="preserve">Then it would need to send a request to the MN to take over the reception of the QoE reports and the MN would need to </w:t>
      </w:r>
      <w:r w:rsidR="00941BD7" w:rsidRPr="3FA8E783">
        <w:rPr>
          <w:rFonts w:ascii="Arial" w:hAnsi="Arial" w:cs="Arial"/>
        </w:rPr>
        <w:t xml:space="preserve">acknowledge the reception. </w:t>
      </w:r>
      <w:r w:rsidR="000A3669" w:rsidRPr="3FA8E783">
        <w:rPr>
          <w:rFonts w:ascii="Arial" w:hAnsi="Arial" w:cs="Arial"/>
        </w:rPr>
        <w:t>The</w:t>
      </w:r>
      <w:r w:rsidR="0072267F" w:rsidRPr="3FA8E783">
        <w:rPr>
          <w:rFonts w:ascii="Arial" w:hAnsi="Arial" w:cs="Arial"/>
        </w:rPr>
        <w:t>n the</w:t>
      </w:r>
      <w:r w:rsidR="000A3669" w:rsidRPr="3FA8E783">
        <w:rPr>
          <w:rFonts w:ascii="Arial" w:hAnsi="Arial" w:cs="Arial"/>
        </w:rPr>
        <w:t xml:space="preserve"> </w:t>
      </w:r>
      <w:r w:rsidR="00296CB5" w:rsidRPr="3FA8E783">
        <w:rPr>
          <w:rFonts w:ascii="Arial" w:hAnsi="Arial" w:cs="Arial"/>
        </w:rPr>
        <w:t>SN</w:t>
      </w:r>
      <w:r w:rsidR="00B26F6B" w:rsidRPr="3FA8E783">
        <w:rPr>
          <w:rFonts w:ascii="Arial" w:hAnsi="Arial" w:cs="Arial"/>
        </w:rPr>
        <w:t xml:space="preserve"> would need to</w:t>
      </w:r>
      <w:r w:rsidR="00E72DED" w:rsidRPr="3FA8E783">
        <w:rPr>
          <w:rFonts w:ascii="Arial" w:hAnsi="Arial" w:cs="Arial"/>
        </w:rPr>
        <w:t xml:space="preserve"> reconfigure the UE to send the reports to the MN instead</w:t>
      </w:r>
      <w:r w:rsidR="00032670" w:rsidRPr="3FA8E783">
        <w:rPr>
          <w:rFonts w:ascii="Arial" w:hAnsi="Arial" w:cs="Arial"/>
        </w:rPr>
        <w:t xml:space="preserve">. </w:t>
      </w:r>
      <w:r w:rsidR="00AC018B" w:rsidRPr="3FA8E783">
        <w:rPr>
          <w:rFonts w:ascii="Arial" w:hAnsi="Arial" w:cs="Arial"/>
        </w:rPr>
        <w:t xml:space="preserve">After the UE has been reconfigured, the SN can finally send a request to the MN </w:t>
      </w:r>
      <w:r w:rsidR="001C7DA1" w:rsidRPr="3FA8E783">
        <w:rPr>
          <w:rFonts w:ascii="Arial" w:hAnsi="Arial" w:cs="Arial"/>
        </w:rPr>
        <w:t xml:space="preserve">that the SCG can be deactivated. </w:t>
      </w:r>
    </w:p>
    <w:p w14:paraId="4D09D210" w14:textId="78FA794F" w:rsidR="00440ADA" w:rsidRDefault="00330EAB" w:rsidP="008D47F6">
      <w:pPr>
        <w:rPr>
          <w:rFonts w:ascii="Arial" w:hAnsi="Arial" w:cs="Arial"/>
        </w:rPr>
      </w:pPr>
      <w:r w:rsidRPr="3FA8E783">
        <w:rPr>
          <w:rFonts w:ascii="Arial" w:hAnsi="Arial" w:cs="Arial"/>
        </w:rPr>
        <w:t xml:space="preserve">Such complicated network procedures are not desired, especially </w:t>
      </w:r>
      <w:r w:rsidR="00EE622E" w:rsidRPr="3FA8E783">
        <w:rPr>
          <w:rFonts w:ascii="Arial" w:hAnsi="Arial" w:cs="Arial"/>
        </w:rPr>
        <w:t>not having</w:t>
      </w:r>
      <w:r w:rsidRPr="3FA8E783">
        <w:rPr>
          <w:rFonts w:ascii="Arial" w:hAnsi="Arial" w:cs="Arial"/>
        </w:rPr>
        <w:t xml:space="preserve"> to reject the request for </w:t>
      </w:r>
      <w:r w:rsidR="00EE622E" w:rsidRPr="3FA8E783">
        <w:rPr>
          <w:rFonts w:ascii="Arial" w:hAnsi="Arial" w:cs="Arial"/>
        </w:rPr>
        <w:t xml:space="preserve">SCG </w:t>
      </w:r>
      <w:r w:rsidRPr="3FA8E783">
        <w:rPr>
          <w:rFonts w:ascii="Arial" w:hAnsi="Arial" w:cs="Arial"/>
        </w:rPr>
        <w:t>deactivation</w:t>
      </w:r>
      <w:r w:rsidR="00EE622E" w:rsidRPr="3FA8E783">
        <w:rPr>
          <w:rFonts w:ascii="Arial" w:hAnsi="Arial" w:cs="Arial"/>
        </w:rPr>
        <w:t>.</w:t>
      </w:r>
      <w:r w:rsidR="00931055" w:rsidRPr="3FA8E783">
        <w:rPr>
          <w:rFonts w:ascii="Arial" w:hAnsi="Arial" w:cs="Arial"/>
        </w:rPr>
        <w:t xml:space="preserve"> </w:t>
      </w:r>
      <w:r w:rsidR="00440ADA" w:rsidRPr="3FA8E783">
        <w:rPr>
          <w:rFonts w:ascii="Arial" w:hAnsi="Arial" w:cs="Arial"/>
        </w:rPr>
        <w:t xml:space="preserve">They </w:t>
      </w:r>
      <w:r w:rsidR="7C840EB9" w:rsidRPr="3FA8E783">
        <w:rPr>
          <w:rFonts w:ascii="Arial" w:hAnsi="Arial" w:cs="Arial"/>
        </w:rPr>
        <w:t>may</w:t>
      </w:r>
      <w:r w:rsidR="00440ADA" w:rsidRPr="3FA8E783">
        <w:rPr>
          <w:rFonts w:ascii="Arial" w:hAnsi="Arial" w:cs="Arial"/>
        </w:rPr>
        <w:t xml:space="preserve"> be supported in existing procedures though, </w:t>
      </w:r>
      <w:r w:rsidR="34C25D87" w:rsidRPr="3FA8E783">
        <w:rPr>
          <w:rFonts w:ascii="Arial" w:hAnsi="Arial" w:cs="Arial"/>
        </w:rPr>
        <w:t>but RAN3 needs to make a proper analysis</w:t>
      </w:r>
      <w:r w:rsidR="00440ADA" w:rsidRPr="3FA8E783">
        <w:rPr>
          <w:rFonts w:ascii="Arial" w:hAnsi="Arial" w:cs="Arial"/>
        </w:rPr>
        <w:t>.</w:t>
      </w:r>
      <w:r w:rsidR="2CA6C56C" w:rsidRPr="3FA8E783">
        <w:rPr>
          <w:rFonts w:ascii="Arial" w:hAnsi="Arial" w:cs="Arial"/>
        </w:rPr>
        <w:t xml:space="preserve"> As it is late in the work item, there may not be time enough for RAN3 to do </w:t>
      </w:r>
      <w:r w:rsidR="006D078B">
        <w:rPr>
          <w:rFonts w:ascii="Arial" w:hAnsi="Arial" w:cs="Arial"/>
        </w:rPr>
        <w:t>make such analysis</w:t>
      </w:r>
      <w:r w:rsidR="2CA6C56C" w:rsidRPr="3FA8E783">
        <w:rPr>
          <w:rFonts w:ascii="Arial" w:hAnsi="Arial" w:cs="Arial"/>
        </w:rPr>
        <w:t>.</w:t>
      </w:r>
    </w:p>
    <w:p w14:paraId="213BD8CF" w14:textId="2A0E0582" w:rsidR="006619D4" w:rsidRDefault="00931055" w:rsidP="008D47F6">
      <w:pPr>
        <w:rPr>
          <w:rFonts w:ascii="Arial" w:hAnsi="Arial" w:cs="Arial"/>
        </w:rPr>
      </w:pPr>
      <w:r w:rsidRPr="3FA8E783">
        <w:rPr>
          <w:rFonts w:ascii="Arial" w:hAnsi="Arial" w:cs="Arial"/>
        </w:rPr>
        <w:t xml:space="preserve">The QoE reports are often configured to be sent once, at the end of the session and it may happen </w:t>
      </w:r>
      <w:r w:rsidR="000C00C7" w:rsidRPr="3FA8E783">
        <w:rPr>
          <w:rFonts w:ascii="Arial" w:hAnsi="Arial" w:cs="Arial"/>
        </w:rPr>
        <w:t>it may take a little while after the user data is finished until the report is ready to be sent.</w:t>
      </w:r>
      <w:r w:rsidR="00C767C7" w:rsidRPr="3FA8E783">
        <w:rPr>
          <w:rFonts w:ascii="Arial" w:hAnsi="Arial" w:cs="Arial"/>
        </w:rPr>
        <w:t xml:space="preserve"> If the UE cannot indicate the availability of a QoE report, there is a risk that the report will be lost </w:t>
      </w:r>
      <w:r w:rsidR="00DA4E27" w:rsidRPr="3FA8E783">
        <w:rPr>
          <w:rFonts w:ascii="Arial" w:hAnsi="Arial" w:cs="Arial"/>
        </w:rPr>
        <w:t xml:space="preserve">if no new user data arrives </w:t>
      </w:r>
      <w:r w:rsidR="006619D4" w:rsidRPr="3FA8E783">
        <w:rPr>
          <w:rFonts w:ascii="Arial" w:hAnsi="Arial" w:cs="Arial"/>
        </w:rPr>
        <w:t>and the SCG perhaps released.</w:t>
      </w:r>
    </w:p>
    <w:p w14:paraId="62F0DFBA" w14:textId="77777777" w:rsidR="006619D4" w:rsidRDefault="006619D4" w:rsidP="00220C46">
      <w:pPr>
        <w:pStyle w:val="Observation"/>
      </w:pPr>
      <w:bookmarkStart w:id="6" w:name="_Toc145963351"/>
      <w:r>
        <w:t>The network procedures for reconfiguring the UE at SCG deactivation are complicated.</w:t>
      </w:r>
      <w:bookmarkEnd w:id="6"/>
    </w:p>
    <w:p w14:paraId="37AA9769" w14:textId="4E106EC9" w:rsidR="005A46CC" w:rsidRDefault="005A46CC" w:rsidP="00220C46">
      <w:pPr>
        <w:pStyle w:val="Observation"/>
      </w:pPr>
      <w:bookmarkStart w:id="7" w:name="_Toc145963352"/>
      <w:r>
        <w:t>RAN3 may not have time enough to analyse</w:t>
      </w:r>
      <w:r w:rsidR="007E53B4">
        <w:t xml:space="preserve"> the </w:t>
      </w:r>
      <w:r w:rsidR="00B33076">
        <w:t xml:space="preserve">consequences of </w:t>
      </w:r>
      <w:r w:rsidR="004C3C88">
        <w:t>the RAN2 agreement.</w:t>
      </w:r>
      <w:bookmarkEnd w:id="7"/>
    </w:p>
    <w:p w14:paraId="47B4DD92" w14:textId="77777777" w:rsidR="00220C46" w:rsidRDefault="006619D4" w:rsidP="00220C46">
      <w:pPr>
        <w:pStyle w:val="Observation"/>
      </w:pPr>
      <w:bookmarkStart w:id="8" w:name="_Toc145963353"/>
      <w:r>
        <w:t xml:space="preserve">There is a risk that QoE reports are lost if no new user data arrives </w:t>
      </w:r>
      <w:r w:rsidR="00220C46">
        <w:t>when the QoE session is finished.</w:t>
      </w:r>
      <w:bookmarkEnd w:id="8"/>
    </w:p>
    <w:p w14:paraId="06238A6E" w14:textId="7D6285D3" w:rsidR="00CA67D5" w:rsidRDefault="003F1471" w:rsidP="008D47F6">
      <w:pPr>
        <w:rPr>
          <w:rFonts w:ascii="Arial" w:hAnsi="Arial" w:cs="Arial"/>
        </w:rPr>
      </w:pPr>
      <w:r>
        <w:rPr>
          <w:rFonts w:ascii="Arial" w:hAnsi="Arial" w:cs="Arial"/>
        </w:rPr>
        <w:t xml:space="preserve"> </w:t>
      </w:r>
      <w:r w:rsidR="00330EAB">
        <w:rPr>
          <w:rFonts w:ascii="Arial" w:hAnsi="Arial" w:cs="Arial"/>
        </w:rPr>
        <w:t xml:space="preserve"> </w:t>
      </w:r>
    </w:p>
    <w:p w14:paraId="499F325F" w14:textId="26A2EC7C" w:rsidR="001E296A" w:rsidRDefault="00F5546E" w:rsidP="008D47F6">
      <w:pPr>
        <w:rPr>
          <w:rFonts w:ascii="Arial" w:hAnsi="Arial" w:cs="Arial"/>
        </w:rPr>
      </w:pPr>
      <w:r>
        <w:rPr>
          <w:rFonts w:ascii="Arial" w:hAnsi="Arial" w:cs="Arial"/>
        </w:rPr>
        <w:t xml:space="preserve">Therefore, it is proposed </w:t>
      </w:r>
      <w:r w:rsidR="005B468F">
        <w:rPr>
          <w:rFonts w:ascii="Arial" w:hAnsi="Arial" w:cs="Arial"/>
        </w:rPr>
        <w:t xml:space="preserve">that RAN2 reconsiders the agreement for SCG deactivation and that the UE can indicate the availability </w:t>
      </w:r>
      <w:r w:rsidR="00E23CA0">
        <w:rPr>
          <w:rFonts w:ascii="Arial" w:hAnsi="Arial" w:cs="Arial"/>
        </w:rPr>
        <w:t xml:space="preserve">of UL </w:t>
      </w:r>
      <w:r w:rsidR="001E296A">
        <w:rPr>
          <w:rFonts w:ascii="Arial" w:hAnsi="Arial" w:cs="Arial"/>
        </w:rPr>
        <w:t>data on SRB5</w:t>
      </w:r>
      <w:r w:rsidR="00E23CA0">
        <w:rPr>
          <w:rFonts w:ascii="Arial" w:hAnsi="Arial" w:cs="Arial"/>
        </w:rPr>
        <w:t xml:space="preserve"> according to legacy mechanisms. </w:t>
      </w:r>
      <w:r w:rsidR="001E296A">
        <w:rPr>
          <w:rFonts w:ascii="Arial" w:hAnsi="Arial" w:cs="Arial"/>
        </w:rPr>
        <w:t xml:space="preserve"> </w:t>
      </w:r>
    </w:p>
    <w:p w14:paraId="4CAB9679" w14:textId="6499416A" w:rsidR="00E23CA0" w:rsidRDefault="00723C7F" w:rsidP="001467D7">
      <w:pPr>
        <w:pStyle w:val="Proposal"/>
        <w:ind w:left="1701" w:hanging="1701"/>
      </w:pPr>
      <w:bookmarkStart w:id="9" w:name="_Toc146686968"/>
      <w:r>
        <w:t xml:space="preserve">Reconsider the previous RAN2 agreement and let the UE indicate availability of UL data on SRB5 </w:t>
      </w:r>
      <w:r w:rsidR="00163F65">
        <w:t xml:space="preserve">for the purpose of QoE reporting </w:t>
      </w:r>
      <w:r>
        <w:t>according to legacy mechanisms.</w:t>
      </w:r>
      <w:bookmarkEnd w:id="9"/>
    </w:p>
    <w:p w14:paraId="3B294562" w14:textId="77777777" w:rsidR="00B30D48" w:rsidRDefault="00B30D48" w:rsidP="008D47F6">
      <w:pPr>
        <w:rPr>
          <w:rFonts w:ascii="Arial" w:hAnsi="Arial" w:cs="Arial"/>
        </w:rPr>
      </w:pPr>
    </w:p>
    <w:p w14:paraId="4654840F" w14:textId="2B481DA3" w:rsidR="005F1B70" w:rsidRDefault="005F1B70" w:rsidP="008D47F6">
      <w:pPr>
        <w:rPr>
          <w:rFonts w:ascii="Arial" w:hAnsi="Arial" w:cs="Arial"/>
        </w:rPr>
      </w:pPr>
      <w:r>
        <w:rPr>
          <w:rFonts w:ascii="Arial" w:hAnsi="Arial" w:cs="Arial"/>
        </w:rPr>
        <w:t>There is an FFS regarding if the UE can request to activate the SCG for the purpose of RVQoE reporting</w:t>
      </w:r>
      <w:r w:rsidR="008B2261">
        <w:rPr>
          <w:rFonts w:ascii="Arial" w:hAnsi="Arial" w:cs="Arial"/>
        </w:rPr>
        <w:t>. The RVQoE reports are more dynamic than QoE reports</w:t>
      </w:r>
      <w:r w:rsidR="3FD5E9A8" w:rsidRPr="7090DE85">
        <w:rPr>
          <w:rFonts w:ascii="Arial" w:hAnsi="Arial" w:cs="Arial"/>
        </w:rPr>
        <w:t>,</w:t>
      </w:r>
      <w:r w:rsidR="008B2261">
        <w:rPr>
          <w:rFonts w:ascii="Arial" w:hAnsi="Arial" w:cs="Arial"/>
        </w:rPr>
        <w:t xml:space="preserve"> and </w:t>
      </w:r>
      <w:r w:rsidR="00D863AE">
        <w:rPr>
          <w:rFonts w:ascii="Arial" w:hAnsi="Arial" w:cs="Arial"/>
        </w:rPr>
        <w:t xml:space="preserve">they are more linked to the transmission of </w:t>
      </w:r>
      <w:r w:rsidR="00D863AE">
        <w:rPr>
          <w:rFonts w:ascii="Arial" w:hAnsi="Arial" w:cs="Arial"/>
        </w:rPr>
        <w:lastRenderedPageBreak/>
        <w:t xml:space="preserve">user data. If there is </w:t>
      </w:r>
      <w:r w:rsidR="00C354D2">
        <w:rPr>
          <w:rFonts w:ascii="Arial" w:hAnsi="Arial" w:cs="Arial"/>
        </w:rPr>
        <w:t xml:space="preserve">a </w:t>
      </w:r>
      <w:r w:rsidR="00D863AE">
        <w:rPr>
          <w:rFonts w:ascii="Arial" w:hAnsi="Arial" w:cs="Arial"/>
        </w:rPr>
        <w:t xml:space="preserve">session ongoing, there will be RVQoE reports, but if the </w:t>
      </w:r>
      <w:r w:rsidR="00977043">
        <w:rPr>
          <w:rFonts w:ascii="Arial" w:hAnsi="Arial" w:cs="Arial"/>
        </w:rPr>
        <w:t xml:space="preserve">session has stopped and there is no user data being transmitted, there will likely not be any RVQoE reports to send either. </w:t>
      </w:r>
      <w:r w:rsidR="00C354D2">
        <w:rPr>
          <w:rFonts w:ascii="Arial" w:hAnsi="Arial" w:cs="Arial"/>
        </w:rPr>
        <w:t>So, there doesn’t seem to be a need to transmit RVQoE reports in case the SCG is deactivated, i.e</w:t>
      </w:r>
      <w:r w:rsidR="18872F1F" w:rsidRPr="7090DE85">
        <w:rPr>
          <w:rFonts w:ascii="Arial" w:hAnsi="Arial" w:cs="Arial"/>
        </w:rPr>
        <w:t>.,</w:t>
      </w:r>
      <w:r w:rsidR="00C354D2">
        <w:rPr>
          <w:rFonts w:ascii="Arial" w:hAnsi="Arial" w:cs="Arial"/>
        </w:rPr>
        <w:t xml:space="preserve"> </w:t>
      </w:r>
      <w:r w:rsidR="00F75199">
        <w:rPr>
          <w:rFonts w:ascii="Arial" w:hAnsi="Arial" w:cs="Arial"/>
        </w:rPr>
        <w:t xml:space="preserve">when </w:t>
      </w:r>
      <w:r w:rsidR="00C354D2">
        <w:rPr>
          <w:rFonts w:ascii="Arial" w:hAnsi="Arial" w:cs="Arial"/>
        </w:rPr>
        <w:t>there is no session ongoing.</w:t>
      </w:r>
    </w:p>
    <w:p w14:paraId="1A98D943" w14:textId="12549E9E" w:rsidR="00B01525" w:rsidRDefault="005A3FBA" w:rsidP="007F0C1D">
      <w:pPr>
        <w:pStyle w:val="Observation"/>
      </w:pPr>
      <w:bookmarkStart w:id="10" w:name="_Toc145963354"/>
      <w:r>
        <w:t>The</w:t>
      </w:r>
      <w:r w:rsidR="00210151">
        <w:t xml:space="preserve">re is no clear </w:t>
      </w:r>
      <w:r w:rsidR="006318D7">
        <w:t xml:space="preserve">use case for the UE to indicate </w:t>
      </w:r>
      <w:r w:rsidR="00C65BBB">
        <w:t>the availability of RVQoE reports when the SCG is deactivated</w:t>
      </w:r>
      <w:r w:rsidR="00B01525">
        <w:t xml:space="preserve">. For simplicity, the same mechanism as for QoE reports </w:t>
      </w:r>
      <w:r w:rsidR="00683D10">
        <w:t>could be used.</w:t>
      </w:r>
      <w:bookmarkEnd w:id="10"/>
    </w:p>
    <w:p w14:paraId="1C709469" w14:textId="20075C6D" w:rsidR="00683D10" w:rsidRDefault="00683D10" w:rsidP="001467D7">
      <w:pPr>
        <w:pStyle w:val="Proposal"/>
        <w:ind w:left="1701" w:hanging="1701"/>
      </w:pPr>
      <w:bookmarkStart w:id="11" w:name="_Toc146686969"/>
      <w:r>
        <w:t xml:space="preserve">The UE indicates availability of UL data on SRB5 </w:t>
      </w:r>
      <w:r w:rsidR="00747FE0">
        <w:t xml:space="preserve">also for </w:t>
      </w:r>
      <w:r w:rsidR="007F0C1D">
        <w:t xml:space="preserve">the purpose of </w:t>
      </w:r>
      <w:r w:rsidR="00747FE0">
        <w:t>RVQoE reporting.</w:t>
      </w:r>
      <w:bookmarkEnd w:id="11"/>
      <w:r w:rsidR="00747FE0">
        <w:t xml:space="preserve"> </w:t>
      </w:r>
    </w:p>
    <w:p w14:paraId="18A04A13" w14:textId="5AF24916" w:rsidR="00A701BE" w:rsidRPr="00484891" w:rsidRDefault="00A701BE" w:rsidP="00E04CD5">
      <w:pPr>
        <w:pStyle w:val="Proposal"/>
        <w:numPr>
          <w:ilvl w:val="0"/>
          <w:numId w:val="0"/>
        </w:numPr>
        <w:rPr>
          <w:rFonts w:ascii="Symbol" w:hAnsi="Symbol"/>
          <w:b w:val="0"/>
          <w:bCs w:val="0"/>
        </w:rPr>
      </w:pPr>
    </w:p>
    <w:p w14:paraId="2256FBE1" w14:textId="218A3B7C" w:rsidR="00E97842" w:rsidRDefault="00E97842" w:rsidP="00E97842">
      <w:pPr>
        <w:pStyle w:val="Heading2"/>
      </w:pPr>
      <w:r w:rsidRPr="00AA66E5">
        <w:t>2.</w:t>
      </w:r>
      <w:r>
        <w:t>3</w:t>
      </w:r>
      <w:r w:rsidRPr="00AA66E5">
        <w:tab/>
      </w:r>
      <w:r>
        <w:t>Incoming LS from RAN3</w:t>
      </w:r>
    </w:p>
    <w:p w14:paraId="68C4F9C0" w14:textId="77777777" w:rsidR="00366849" w:rsidRDefault="00366849" w:rsidP="00366849"/>
    <w:p w14:paraId="217BCB66" w14:textId="712651D3" w:rsidR="00366849" w:rsidRDefault="00366849" w:rsidP="00366849">
      <w:pPr>
        <w:rPr>
          <w:rFonts w:ascii="Arial" w:hAnsi="Arial" w:cs="Arial"/>
        </w:rPr>
      </w:pPr>
      <w:r w:rsidRPr="305462E8">
        <w:rPr>
          <w:rFonts w:ascii="Arial" w:hAnsi="Arial" w:cs="Arial"/>
        </w:rPr>
        <w:t xml:space="preserve">RAN3 </w:t>
      </w:r>
      <w:r w:rsidR="009A044C" w:rsidRPr="305462E8">
        <w:rPr>
          <w:rFonts w:ascii="Arial" w:hAnsi="Arial" w:cs="Arial"/>
        </w:rPr>
        <w:t xml:space="preserve">sent an LS R3-234750 </w:t>
      </w:r>
      <w:r w:rsidR="42C792E3" w:rsidRPr="305462E8">
        <w:rPr>
          <w:rFonts w:ascii="Arial" w:hAnsi="Arial" w:cs="Arial"/>
        </w:rPr>
        <w:t xml:space="preserve">[2] </w:t>
      </w:r>
      <w:r w:rsidR="00A2359A" w:rsidRPr="305462E8">
        <w:rPr>
          <w:rFonts w:ascii="Arial" w:hAnsi="Arial" w:cs="Arial"/>
        </w:rPr>
        <w:t xml:space="preserve">indicating </w:t>
      </w:r>
      <w:r w:rsidR="00FB0945" w:rsidRPr="305462E8">
        <w:rPr>
          <w:rFonts w:ascii="Arial" w:hAnsi="Arial" w:cs="Arial"/>
        </w:rPr>
        <w:t>R</w:t>
      </w:r>
      <w:r w:rsidR="0011028F" w:rsidRPr="305462E8">
        <w:rPr>
          <w:rFonts w:ascii="Arial" w:hAnsi="Arial" w:cs="Arial"/>
        </w:rPr>
        <w:t>AN</w:t>
      </w:r>
      <w:r w:rsidR="00FB0945" w:rsidRPr="305462E8">
        <w:rPr>
          <w:rFonts w:ascii="Arial" w:hAnsi="Arial" w:cs="Arial"/>
        </w:rPr>
        <w:t>3’s agreements</w:t>
      </w:r>
      <w:r w:rsidR="00A2359A" w:rsidRPr="305462E8">
        <w:rPr>
          <w:rFonts w:ascii="Arial" w:hAnsi="Arial" w:cs="Arial"/>
        </w:rPr>
        <w:t xml:space="preserve"> </w:t>
      </w:r>
      <w:r w:rsidR="00FB0945" w:rsidRPr="305462E8">
        <w:rPr>
          <w:rFonts w:ascii="Arial" w:hAnsi="Arial" w:cs="Arial"/>
        </w:rPr>
        <w:t xml:space="preserve">in the </w:t>
      </w:r>
      <w:r w:rsidR="00A2359A" w:rsidRPr="305462E8">
        <w:rPr>
          <w:rFonts w:ascii="Arial" w:hAnsi="Arial" w:cs="Arial"/>
        </w:rPr>
        <w:t>discussion of QoE in NR-DC.</w:t>
      </w:r>
      <w:r w:rsidR="00D67419" w:rsidRPr="305462E8">
        <w:rPr>
          <w:rFonts w:ascii="Arial" w:hAnsi="Arial" w:cs="Arial"/>
        </w:rPr>
        <w:t xml:space="preserve"> </w:t>
      </w:r>
      <w:r w:rsidR="00FB0945" w:rsidRPr="305462E8">
        <w:rPr>
          <w:rFonts w:ascii="Arial" w:hAnsi="Arial" w:cs="Arial"/>
        </w:rPr>
        <w:t xml:space="preserve">The agreements and WA </w:t>
      </w:r>
      <w:r w:rsidR="00442F1E" w:rsidRPr="305462E8">
        <w:rPr>
          <w:rFonts w:ascii="Arial" w:hAnsi="Arial" w:cs="Arial"/>
        </w:rPr>
        <w:t xml:space="preserve">communicated in the LS </w:t>
      </w:r>
      <w:r w:rsidR="00FB0945" w:rsidRPr="305462E8">
        <w:rPr>
          <w:rFonts w:ascii="Arial" w:hAnsi="Arial" w:cs="Arial"/>
        </w:rPr>
        <w:t>are as follows:</w:t>
      </w:r>
    </w:p>
    <w:p w14:paraId="3316BFB1" w14:textId="77777777" w:rsidR="00EF313F" w:rsidRPr="00EF313F" w:rsidRDefault="00FB0945" w:rsidP="00BA3519">
      <w:pPr>
        <w:numPr>
          <w:ilvl w:val="0"/>
          <w:numId w:val="30"/>
        </w:numPr>
        <w:overflowPunct/>
        <w:autoSpaceDE/>
        <w:autoSpaceDN/>
        <w:adjustRightInd/>
        <w:spacing w:after="120"/>
        <w:textAlignment w:val="auto"/>
        <w:rPr>
          <w:rFonts w:ascii="Arial" w:eastAsia="DengXian" w:hAnsi="Arial" w:cs="Arial"/>
          <w:i/>
          <w:iCs/>
          <w:lang w:eastAsia="en-US"/>
        </w:rPr>
      </w:pPr>
      <w:r w:rsidRPr="00EF313F">
        <w:rPr>
          <w:rFonts w:ascii="Arial" w:hAnsi="Arial" w:cs="Arial"/>
          <w:i/>
          <w:iCs/>
        </w:rPr>
        <w:tab/>
      </w:r>
      <w:r w:rsidR="00EF313F" w:rsidRPr="00EF313F">
        <w:rPr>
          <w:rFonts w:ascii="Arial" w:eastAsia="DengXian" w:hAnsi="Arial" w:cs="Arial" w:hint="eastAsia"/>
          <w:i/>
          <w:iCs/>
          <w:lang w:eastAsia="en-US"/>
        </w:rPr>
        <w:t>For s-based QoE configuration received by MN</w:t>
      </w:r>
    </w:p>
    <w:p w14:paraId="0AC4BEDF" w14:textId="77777777" w:rsidR="00EF313F" w:rsidRPr="00EF313F" w:rsidRDefault="00EF313F" w:rsidP="00BA3519">
      <w:pPr>
        <w:numPr>
          <w:ilvl w:val="0"/>
          <w:numId w:val="30"/>
        </w:numPr>
        <w:overflowPunct/>
        <w:autoSpaceDE/>
        <w:autoSpaceDN/>
        <w:adjustRightInd/>
        <w:spacing w:after="120"/>
        <w:ind w:left="840" w:firstLine="400"/>
        <w:textAlignment w:val="auto"/>
        <w:rPr>
          <w:rFonts w:ascii="Arial" w:eastAsia="DengXian" w:hAnsi="Arial" w:cs="Arial"/>
          <w:i/>
          <w:iCs/>
          <w:lang w:eastAsia="en-US"/>
        </w:rPr>
      </w:pPr>
      <w:r w:rsidRPr="00EF313F">
        <w:rPr>
          <w:rFonts w:ascii="Arial" w:eastAsia="DengXian" w:hAnsi="Arial" w:cs="Arial" w:hint="eastAsia"/>
          <w:i/>
          <w:iCs/>
          <w:lang w:eastAsia="en-US"/>
        </w:rPr>
        <w:t>MN sends the QoE configuration via SRB1</w:t>
      </w:r>
    </w:p>
    <w:p w14:paraId="38DB351F" w14:textId="77777777" w:rsidR="00EF313F" w:rsidRPr="00EF313F" w:rsidRDefault="00EF313F" w:rsidP="00BA3519">
      <w:pPr>
        <w:numPr>
          <w:ilvl w:val="0"/>
          <w:numId w:val="30"/>
        </w:numPr>
        <w:overflowPunct/>
        <w:autoSpaceDE/>
        <w:autoSpaceDN/>
        <w:adjustRightInd/>
        <w:spacing w:after="120"/>
        <w:ind w:left="840" w:firstLine="400"/>
        <w:textAlignment w:val="auto"/>
        <w:rPr>
          <w:rFonts w:ascii="Arial" w:eastAsia="DengXian" w:hAnsi="Arial" w:cs="Arial"/>
          <w:i/>
          <w:iCs/>
          <w:lang w:eastAsia="en-US"/>
        </w:rPr>
      </w:pPr>
      <w:r w:rsidRPr="00EF313F">
        <w:rPr>
          <w:rFonts w:ascii="Arial" w:eastAsia="DengXian" w:hAnsi="Arial" w:cs="Arial" w:hint="eastAsia"/>
          <w:i/>
          <w:iCs/>
          <w:lang w:eastAsia="en-US"/>
        </w:rPr>
        <w:t>QoE reports can be sent via SRB4 or SRB5</w:t>
      </w:r>
    </w:p>
    <w:p w14:paraId="4C91C45F" w14:textId="77777777" w:rsidR="00EF313F" w:rsidRPr="00EF313F" w:rsidRDefault="00EF313F" w:rsidP="00BA3519">
      <w:pPr>
        <w:numPr>
          <w:ilvl w:val="0"/>
          <w:numId w:val="30"/>
        </w:numPr>
        <w:overflowPunct/>
        <w:autoSpaceDE/>
        <w:autoSpaceDN/>
        <w:adjustRightInd/>
        <w:spacing w:after="120"/>
        <w:textAlignment w:val="auto"/>
        <w:rPr>
          <w:rFonts w:ascii="Arial" w:eastAsia="DengXian" w:hAnsi="Arial" w:cs="Arial"/>
          <w:i/>
          <w:iCs/>
          <w:lang w:eastAsia="en-US"/>
        </w:rPr>
      </w:pPr>
      <w:r w:rsidRPr="00EF313F">
        <w:rPr>
          <w:rFonts w:ascii="Arial" w:eastAsia="DengXian" w:hAnsi="Arial" w:cs="Arial" w:hint="eastAsia"/>
          <w:i/>
          <w:iCs/>
          <w:lang w:eastAsia="en-US"/>
        </w:rPr>
        <w:t>WA: The transparent reporting for RVQoE over RRC is not supported.</w:t>
      </w:r>
    </w:p>
    <w:p w14:paraId="0F274FC0" w14:textId="77777777" w:rsidR="00EF313F" w:rsidRPr="00EF313F" w:rsidRDefault="00EF313F" w:rsidP="00BA3519">
      <w:pPr>
        <w:numPr>
          <w:ilvl w:val="0"/>
          <w:numId w:val="30"/>
        </w:numPr>
        <w:overflowPunct/>
        <w:autoSpaceDE/>
        <w:autoSpaceDN/>
        <w:adjustRightInd/>
        <w:spacing w:after="120"/>
        <w:textAlignment w:val="auto"/>
        <w:rPr>
          <w:rFonts w:ascii="Arial" w:eastAsia="DengXian" w:hAnsi="Arial" w:cs="Arial"/>
          <w:i/>
          <w:iCs/>
          <w:lang w:eastAsia="en-US"/>
        </w:rPr>
      </w:pPr>
      <w:r w:rsidRPr="00EF313F">
        <w:rPr>
          <w:rFonts w:ascii="Arial" w:eastAsia="DengXian" w:hAnsi="Arial" w:cs="Arial" w:hint="eastAsia"/>
          <w:i/>
          <w:iCs/>
          <w:lang w:eastAsia="en-US"/>
        </w:rPr>
        <w:t>Define two different reporting leg indications for QoE and RVQoE.</w:t>
      </w:r>
    </w:p>
    <w:p w14:paraId="722B270E" w14:textId="77777777" w:rsidR="00EF313F" w:rsidRDefault="00EF313F" w:rsidP="00BA3519">
      <w:pPr>
        <w:numPr>
          <w:ilvl w:val="0"/>
          <w:numId w:val="30"/>
        </w:numPr>
        <w:overflowPunct/>
        <w:autoSpaceDE/>
        <w:autoSpaceDN/>
        <w:adjustRightInd/>
        <w:spacing w:after="120"/>
        <w:textAlignment w:val="auto"/>
        <w:rPr>
          <w:rFonts w:ascii="Arial" w:eastAsia="DengXian" w:hAnsi="Arial" w:cs="Arial"/>
          <w:i/>
          <w:iCs/>
          <w:lang w:eastAsia="en-US"/>
        </w:rPr>
      </w:pPr>
      <w:r w:rsidRPr="00EF313F">
        <w:rPr>
          <w:rFonts w:ascii="Arial" w:eastAsia="DengXian" w:hAnsi="Arial" w:cs="Arial" w:hint="eastAsia"/>
          <w:i/>
          <w:iCs/>
          <w:lang w:eastAsia="en-US"/>
        </w:rPr>
        <w:t>For a UE in NR-DC, each legacy QoE configuration can have only one corresponding RVQoE configuration when needed.</w:t>
      </w:r>
    </w:p>
    <w:p w14:paraId="1672404A" w14:textId="77777777" w:rsidR="0048642E" w:rsidRDefault="0048642E" w:rsidP="0059130E">
      <w:pPr>
        <w:overflowPunct/>
        <w:autoSpaceDE/>
        <w:autoSpaceDN/>
        <w:adjustRightInd/>
        <w:spacing w:after="120"/>
        <w:textAlignment w:val="auto"/>
        <w:rPr>
          <w:rFonts w:ascii="Arial" w:eastAsia="DengXian" w:hAnsi="Arial" w:cs="Arial"/>
          <w:i/>
          <w:iCs/>
          <w:lang w:eastAsia="en-US"/>
        </w:rPr>
      </w:pPr>
    </w:p>
    <w:p w14:paraId="7792B40D" w14:textId="0164B7BA" w:rsidR="0059130E" w:rsidRPr="0059130E" w:rsidRDefault="0059130E" w:rsidP="0059130E">
      <w:pPr>
        <w:overflowPunct/>
        <w:autoSpaceDE/>
        <w:autoSpaceDN/>
        <w:adjustRightInd/>
        <w:spacing w:after="120"/>
        <w:textAlignment w:val="auto"/>
        <w:rPr>
          <w:rFonts w:ascii="Arial" w:eastAsia="DengXian" w:hAnsi="Arial" w:cs="Arial"/>
          <w:lang w:eastAsia="en-US"/>
        </w:rPr>
      </w:pPr>
      <w:r>
        <w:rPr>
          <w:rFonts w:ascii="Arial" w:eastAsia="DengXian" w:hAnsi="Arial" w:cs="Arial"/>
          <w:lang w:eastAsia="en-US"/>
        </w:rPr>
        <w:t xml:space="preserve">We think RAN2 can simply confirm and endorse the </w:t>
      </w:r>
      <w:r w:rsidR="00D85F1C">
        <w:rPr>
          <w:rFonts w:ascii="Arial" w:eastAsia="DengXian" w:hAnsi="Arial" w:cs="Arial"/>
          <w:lang w:eastAsia="en-US"/>
        </w:rPr>
        <w:t>content of the received LS.</w:t>
      </w:r>
    </w:p>
    <w:p w14:paraId="655794EA" w14:textId="4ABE1F54" w:rsidR="00C37FEA" w:rsidRPr="0048642E" w:rsidRDefault="00C70C56" w:rsidP="0048642E">
      <w:pPr>
        <w:pStyle w:val="Proposal"/>
        <w:ind w:left="1701" w:hanging="1701"/>
        <w:rPr>
          <w:rFonts w:eastAsia="DengXian" w:cs="Arial"/>
          <w:lang w:val="x-none"/>
        </w:rPr>
      </w:pPr>
      <w:bookmarkStart w:id="12" w:name="_Toc146686970"/>
      <w:r w:rsidRPr="0048642E">
        <w:rPr>
          <w:rFonts w:eastAsia="DengXian" w:cs="Arial"/>
          <w:lang w:val="en-US"/>
        </w:rPr>
        <w:t xml:space="preserve">Confirm RAN3’s agreement in the context of </w:t>
      </w:r>
      <w:r w:rsidR="00375148" w:rsidRPr="0048642E">
        <w:rPr>
          <w:rFonts w:eastAsia="DengXian" w:cs="Arial"/>
          <w:lang w:val="en-US"/>
        </w:rPr>
        <w:t>an s-based QoE configuration received by MN</w:t>
      </w:r>
      <w:r w:rsidR="00911DAB" w:rsidRPr="0048642E">
        <w:rPr>
          <w:rFonts w:eastAsia="DengXian" w:cs="Arial"/>
          <w:lang w:val="en-US"/>
        </w:rPr>
        <w:t xml:space="preserve"> where</w:t>
      </w:r>
      <w:bookmarkEnd w:id="12"/>
    </w:p>
    <w:p w14:paraId="69D35CB1" w14:textId="15049EF1" w:rsidR="00911DAB" w:rsidRPr="00911DAB" w:rsidRDefault="00911DAB" w:rsidP="00BA3519">
      <w:pPr>
        <w:pStyle w:val="ListParagraph"/>
        <w:numPr>
          <w:ilvl w:val="3"/>
          <w:numId w:val="32"/>
        </w:numPr>
        <w:overflowPunct/>
        <w:autoSpaceDE/>
        <w:autoSpaceDN/>
        <w:adjustRightInd/>
        <w:spacing w:after="120"/>
        <w:textAlignment w:val="auto"/>
        <w:rPr>
          <w:rFonts w:ascii="Arial" w:eastAsia="DengXian" w:hAnsi="Arial" w:cs="Arial"/>
          <w:b/>
          <w:bCs/>
          <w:sz w:val="20"/>
          <w:szCs w:val="20"/>
        </w:rPr>
      </w:pPr>
      <w:r>
        <w:rPr>
          <w:rFonts w:ascii="Arial" w:eastAsia="DengXian" w:hAnsi="Arial" w:cs="Arial"/>
          <w:b/>
          <w:bCs/>
          <w:sz w:val="20"/>
          <w:szCs w:val="20"/>
          <w:lang w:val="en-US"/>
        </w:rPr>
        <w:t>MN sends the QoE configuration via SRB1</w:t>
      </w:r>
    </w:p>
    <w:p w14:paraId="07046E7C" w14:textId="74C0289D" w:rsidR="00911DAB" w:rsidRPr="0048642E" w:rsidRDefault="00911DAB" w:rsidP="00BA3519">
      <w:pPr>
        <w:pStyle w:val="ListParagraph"/>
        <w:numPr>
          <w:ilvl w:val="3"/>
          <w:numId w:val="32"/>
        </w:numPr>
        <w:overflowPunct/>
        <w:autoSpaceDE/>
        <w:autoSpaceDN/>
        <w:adjustRightInd/>
        <w:spacing w:after="120"/>
        <w:textAlignment w:val="auto"/>
        <w:rPr>
          <w:rFonts w:ascii="Arial" w:eastAsia="DengXian" w:hAnsi="Arial" w:cs="Arial"/>
          <w:b/>
          <w:bCs/>
          <w:sz w:val="20"/>
          <w:szCs w:val="20"/>
        </w:rPr>
      </w:pPr>
      <w:r>
        <w:rPr>
          <w:rFonts w:ascii="Arial" w:eastAsia="DengXian" w:hAnsi="Arial" w:cs="Arial"/>
          <w:b/>
          <w:bCs/>
          <w:sz w:val="20"/>
          <w:szCs w:val="20"/>
          <w:lang w:val="en-US"/>
        </w:rPr>
        <w:t>QoE reports can be sent via SRB4 or SRB5</w:t>
      </w:r>
    </w:p>
    <w:p w14:paraId="34CEB02A" w14:textId="77777777" w:rsidR="0048642E" w:rsidRPr="00E604E9" w:rsidRDefault="0048642E" w:rsidP="0048642E">
      <w:pPr>
        <w:pStyle w:val="ListParagraph"/>
        <w:overflowPunct/>
        <w:autoSpaceDE/>
        <w:autoSpaceDN/>
        <w:adjustRightInd/>
        <w:spacing w:after="120"/>
        <w:ind w:left="2520"/>
        <w:textAlignment w:val="auto"/>
        <w:rPr>
          <w:rFonts w:ascii="Arial" w:eastAsia="DengXian" w:hAnsi="Arial" w:cs="Arial"/>
          <w:b/>
          <w:bCs/>
          <w:sz w:val="20"/>
          <w:szCs w:val="20"/>
        </w:rPr>
      </w:pPr>
    </w:p>
    <w:p w14:paraId="23D31B8E" w14:textId="796338DC" w:rsidR="00E604E9" w:rsidRDefault="00D614D7" w:rsidP="00521003">
      <w:pPr>
        <w:pStyle w:val="Proposal"/>
        <w:ind w:left="1701" w:hanging="1701"/>
        <w:rPr>
          <w:rFonts w:eastAsia="DengXian"/>
        </w:rPr>
      </w:pPr>
      <w:bookmarkStart w:id="13" w:name="_Toc146686971"/>
      <w:r>
        <w:rPr>
          <w:rFonts w:eastAsia="DengXian"/>
        </w:rPr>
        <w:t>Confirm RAN3’s agreements on defining two different</w:t>
      </w:r>
      <w:r w:rsidR="00442F1E">
        <w:rPr>
          <w:rFonts w:eastAsia="DengXian"/>
        </w:rPr>
        <w:t xml:space="preserve"> reporting </w:t>
      </w:r>
      <w:r w:rsidR="00826700">
        <w:rPr>
          <w:rFonts w:eastAsia="DengXian"/>
        </w:rPr>
        <w:t>leg indications for QoE and RVQoE</w:t>
      </w:r>
      <w:r w:rsidR="00026FAD">
        <w:rPr>
          <w:rFonts w:eastAsia="DengXian"/>
        </w:rPr>
        <w:t xml:space="preserve">, i.e., </w:t>
      </w:r>
      <w:r w:rsidR="00D547D1">
        <w:rPr>
          <w:rFonts w:eastAsia="DengXian"/>
        </w:rPr>
        <w:t>the RAN will indicate to the UE</w:t>
      </w:r>
      <w:r w:rsidR="00C7768D">
        <w:rPr>
          <w:rFonts w:eastAsia="DengXian"/>
        </w:rPr>
        <w:t xml:space="preserve"> </w:t>
      </w:r>
      <w:r w:rsidR="002849D0">
        <w:rPr>
          <w:rFonts w:eastAsia="DengXian"/>
        </w:rPr>
        <w:t xml:space="preserve">which SRB shall be used for legacy QoE and </w:t>
      </w:r>
      <w:r w:rsidR="00024EA7">
        <w:rPr>
          <w:rFonts w:eastAsia="DengXian"/>
        </w:rPr>
        <w:t xml:space="preserve">which SRB shall be used for </w:t>
      </w:r>
      <w:r w:rsidR="002849D0">
        <w:rPr>
          <w:rFonts w:eastAsia="DengXian"/>
        </w:rPr>
        <w:t>RVQoE measurement reporting.</w:t>
      </w:r>
      <w:bookmarkEnd w:id="13"/>
    </w:p>
    <w:p w14:paraId="602AF6BD" w14:textId="77777777" w:rsidR="0048642E" w:rsidRDefault="0048642E" w:rsidP="00521003">
      <w:pPr>
        <w:pStyle w:val="Proposal"/>
        <w:numPr>
          <w:ilvl w:val="0"/>
          <w:numId w:val="0"/>
        </w:numPr>
        <w:ind w:left="360"/>
        <w:rPr>
          <w:rFonts w:eastAsia="DengXian"/>
        </w:rPr>
      </w:pPr>
    </w:p>
    <w:p w14:paraId="148D8746" w14:textId="7C9F1BC4" w:rsidR="00521003" w:rsidRDefault="48E40119" w:rsidP="00521003">
      <w:pPr>
        <w:pStyle w:val="Proposal"/>
        <w:ind w:left="1701" w:hanging="1701"/>
        <w:rPr>
          <w:rFonts w:eastAsia="DengXian"/>
        </w:rPr>
      </w:pPr>
      <w:bookmarkStart w:id="14" w:name="_Toc146686972"/>
      <w:r w:rsidRPr="0AAAE0D9">
        <w:rPr>
          <w:rFonts w:eastAsia="DengXian"/>
        </w:rPr>
        <w:t>Confirm RAN3 agreement that f</w:t>
      </w:r>
      <w:r w:rsidR="00521003" w:rsidRPr="0AAAE0D9">
        <w:rPr>
          <w:rFonts w:eastAsia="DengXian"/>
        </w:rPr>
        <w:t>or a UE in NR-DC, each legacy QoE configuration can have only one corresponding RVQoE configuration when needed.</w:t>
      </w:r>
      <w:bookmarkEnd w:id="14"/>
    </w:p>
    <w:p w14:paraId="244C9361" w14:textId="77777777" w:rsidR="00024EA7" w:rsidRPr="0095447E" w:rsidRDefault="00024EA7" w:rsidP="00521003">
      <w:pPr>
        <w:pStyle w:val="Proposal"/>
        <w:numPr>
          <w:ilvl w:val="0"/>
          <w:numId w:val="0"/>
        </w:numPr>
        <w:rPr>
          <w:rFonts w:eastAsia="DengXian"/>
        </w:rPr>
      </w:pPr>
    </w:p>
    <w:p w14:paraId="6EE15EEB" w14:textId="2BF275ED" w:rsidR="00DC4304" w:rsidRDefault="00DC4304" w:rsidP="007839DD">
      <w:pPr>
        <w:pStyle w:val="Proposal"/>
        <w:numPr>
          <w:ilvl w:val="0"/>
          <w:numId w:val="0"/>
        </w:numPr>
        <w:rPr>
          <w:rFonts w:ascii="Symbol" w:hAnsi="Symbol"/>
          <w:b w:val="0"/>
          <w:bCs w:val="0"/>
        </w:rPr>
      </w:pPr>
    </w:p>
    <w:p w14:paraId="23BD68D6" w14:textId="77777777" w:rsidR="00C01F33" w:rsidRPr="00CE0424" w:rsidRDefault="00C01F33" w:rsidP="00CE0424">
      <w:pPr>
        <w:pStyle w:val="Heading1"/>
      </w:pPr>
      <w:r w:rsidRPr="00CE0424">
        <w:t>Conclusion</w:t>
      </w:r>
    </w:p>
    <w:p w14:paraId="0DFD069F" w14:textId="77777777" w:rsidR="00D242DE" w:rsidRDefault="00D242DE" w:rsidP="00D242DE">
      <w:pPr>
        <w:pStyle w:val="BodyText"/>
        <w:rPr>
          <w:b/>
          <w:bCs/>
        </w:rPr>
      </w:pPr>
      <w:bookmarkStart w:id="15" w:name="_In-sequence_SDU_delivery"/>
      <w:bookmarkEnd w:id="15"/>
      <w:r w:rsidRPr="00097E57">
        <w:t>RAN2 is kindly asked to discuss the following observations and proposals</w:t>
      </w:r>
      <w:r>
        <w:t>:</w:t>
      </w:r>
      <w:r>
        <w:rPr>
          <w:b/>
          <w:bCs/>
        </w:rPr>
        <w:t xml:space="preserve"> </w:t>
      </w:r>
    </w:p>
    <w:p w14:paraId="193ABE7F" w14:textId="7AD8CFA3" w:rsidR="004C3C88" w:rsidRDefault="00D242DE">
      <w:pPr>
        <w:pStyle w:val="TableofFigures"/>
        <w:tabs>
          <w:tab w:val="right" w:leader="dot" w:pos="9629"/>
        </w:tabs>
        <w:rPr>
          <w:rFonts w:asciiTheme="minorHAnsi" w:eastAsiaTheme="minorEastAsia" w:hAnsiTheme="minorHAnsi" w:cstheme="minorBidi"/>
          <w:b w:val="0"/>
          <w:noProof/>
          <w:sz w:val="22"/>
          <w:szCs w:val="22"/>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45963350" w:history="1">
        <w:r w:rsidR="004C3C88" w:rsidRPr="00CB6831">
          <w:rPr>
            <w:rStyle w:val="Hyperlink"/>
            <w:noProof/>
          </w:rPr>
          <w:t>Observation 1</w:t>
        </w:r>
        <w:r w:rsidR="004C3C88">
          <w:rPr>
            <w:rFonts w:asciiTheme="minorHAnsi" w:eastAsiaTheme="minorEastAsia" w:hAnsiTheme="minorHAnsi" w:cstheme="minorBidi"/>
            <w:b w:val="0"/>
            <w:noProof/>
            <w:sz w:val="22"/>
            <w:szCs w:val="22"/>
          </w:rPr>
          <w:tab/>
        </w:r>
        <w:r w:rsidR="004C3C88" w:rsidRPr="00CB6831">
          <w:rPr>
            <w:rStyle w:val="Hyperlink"/>
            <w:noProof/>
          </w:rPr>
          <w:t>The RAN2 agreement related to SN release may not be supported according to discussion in RAN3.</w:t>
        </w:r>
      </w:hyperlink>
    </w:p>
    <w:p w14:paraId="7DAAC19C" w14:textId="7A16B007" w:rsidR="004C3C88" w:rsidRDefault="00874A6D">
      <w:pPr>
        <w:pStyle w:val="TableofFigures"/>
        <w:tabs>
          <w:tab w:val="right" w:leader="dot" w:pos="9629"/>
        </w:tabs>
        <w:rPr>
          <w:rFonts w:asciiTheme="minorHAnsi" w:eastAsiaTheme="minorEastAsia" w:hAnsiTheme="minorHAnsi" w:cstheme="minorBidi"/>
          <w:b w:val="0"/>
          <w:noProof/>
          <w:sz w:val="22"/>
          <w:szCs w:val="22"/>
        </w:rPr>
      </w:pPr>
      <w:hyperlink w:anchor="_Toc145963351" w:history="1">
        <w:r w:rsidR="004C3C88" w:rsidRPr="00CB6831">
          <w:rPr>
            <w:rStyle w:val="Hyperlink"/>
            <w:noProof/>
          </w:rPr>
          <w:t>Observation 2</w:t>
        </w:r>
        <w:r w:rsidR="004C3C88">
          <w:rPr>
            <w:rFonts w:asciiTheme="minorHAnsi" w:eastAsiaTheme="minorEastAsia" w:hAnsiTheme="minorHAnsi" w:cstheme="minorBidi"/>
            <w:b w:val="0"/>
            <w:noProof/>
            <w:sz w:val="22"/>
            <w:szCs w:val="22"/>
          </w:rPr>
          <w:tab/>
        </w:r>
        <w:r w:rsidR="004C3C88" w:rsidRPr="00CB6831">
          <w:rPr>
            <w:rStyle w:val="Hyperlink"/>
            <w:noProof/>
          </w:rPr>
          <w:t>The network procedures for reconfiguring the UE at SCG deactivation are complicated.</w:t>
        </w:r>
      </w:hyperlink>
    </w:p>
    <w:p w14:paraId="1AD275B6" w14:textId="713C1829" w:rsidR="004C3C88" w:rsidRDefault="00874A6D">
      <w:pPr>
        <w:pStyle w:val="TableofFigures"/>
        <w:tabs>
          <w:tab w:val="right" w:leader="dot" w:pos="9629"/>
        </w:tabs>
        <w:rPr>
          <w:rFonts w:asciiTheme="minorHAnsi" w:eastAsiaTheme="minorEastAsia" w:hAnsiTheme="minorHAnsi" w:cstheme="minorBidi"/>
          <w:b w:val="0"/>
          <w:noProof/>
          <w:sz w:val="22"/>
          <w:szCs w:val="22"/>
        </w:rPr>
      </w:pPr>
      <w:hyperlink w:anchor="_Toc145963352" w:history="1">
        <w:r w:rsidR="004C3C88" w:rsidRPr="00CB6831">
          <w:rPr>
            <w:rStyle w:val="Hyperlink"/>
            <w:noProof/>
          </w:rPr>
          <w:t>Observation 3</w:t>
        </w:r>
        <w:r w:rsidR="004C3C88">
          <w:rPr>
            <w:rFonts w:asciiTheme="minorHAnsi" w:eastAsiaTheme="minorEastAsia" w:hAnsiTheme="minorHAnsi" w:cstheme="minorBidi"/>
            <w:b w:val="0"/>
            <w:noProof/>
            <w:sz w:val="22"/>
            <w:szCs w:val="22"/>
          </w:rPr>
          <w:tab/>
        </w:r>
        <w:r w:rsidR="004C3C88" w:rsidRPr="00CB6831">
          <w:rPr>
            <w:rStyle w:val="Hyperlink"/>
            <w:noProof/>
          </w:rPr>
          <w:t>RAN3 may not have time enough to analyse the consequences of the RAN2 agreement.</w:t>
        </w:r>
      </w:hyperlink>
    </w:p>
    <w:p w14:paraId="16FA7A4C" w14:textId="77586F2B" w:rsidR="004C3C88" w:rsidRDefault="00874A6D">
      <w:pPr>
        <w:pStyle w:val="TableofFigures"/>
        <w:tabs>
          <w:tab w:val="right" w:leader="dot" w:pos="9629"/>
        </w:tabs>
        <w:rPr>
          <w:rFonts w:asciiTheme="minorHAnsi" w:eastAsiaTheme="minorEastAsia" w:hAnsiTheme="minorHAnsi" w:cstheme="minorBidi"/>
          <w:b w:val="0"/>
          <w:noProof/>
          <w:sz w:val="22"/>
          <w:szCs w:val="22"/>
        </w:rPr>
      </w:pPr>
      <w:hyperlink w:anchor="_Toc145963353" w:history="1">
        <w:r w:rsidR="004C3C88" w:rsidRPr="00CB6831">
          <w:rPr>
            <w:rStyle w:val="Hyperlink"/>
            <w:noProof/>
          </w:rPr>
          <w:t>Observation 4</w:t>
        </w:r>
        <w:r w:rsidR="004C3C88">
          <w:rPr>
            <w:rFonts w:asciiTheme="minorHAnsi" w:eastAsiaTheme="minorEastAsia" w:hAnsiTheme="minorHAnsi" w:cstheme="minorBidi"/>
            <w:b w:val="0"/>
            <w:noProof/>
            <w:sz w:val="22"/>
            <w:szCs w:val="22"/>
          </w:rPr>
          <w:tab/>
        </w:r>
        <w:r w:rsidR="004C3C88" w:rsidRPr="00CB6831">
          <w:rPr>
            <w:rStyle w:val="Hyperlink"/>
            <w:noProof/>
          </w:rPr>
          <w:t>There is a risk that QoE reports are lost if no new user data arrives when the QoE session is finished.</w:t>
        </w:r>
      </w:hyperlink>
    </w:p>
    <w:p w14:paraId="22326B69" w14:textId="2025E9DA" w:rsidR="004C3C88" w:rsidRDefault="00874A6D">
      <w:pPr>
        <w:pStyle w:val="TableofFigures"/>
        <w:tabs>
          <w:tab w:val="right" w:leader="dot" w:pos="9629"/>
        </w:tabs>
        <w:rPr>
          <w:rFonts w:asciiTheme="minorHAnsi" w:eastAsiaTheme="minorEastAsia" w:hAnsiTheme="minorHAnsi" w:cstheme="minorBidi"/>
          <w:b w:val="0"/>
          <w:noProof/>
          <w:sz w:val="22"/>
          <w:szCs w:val="22"/>
        </w:rPr>
      </w:pPr>
      <w:hyperlink w:anchor="_Toc145963354" w:history="1">
        <w:r w:rsidR="004C3C88" w:rsidRPr="00CB6831">
          <w:rPr>
            <w:rStyle w:val="Hyperlink"/>
            <w:noProof/>
          </w:rPr>
          <w:t>Observation 5</w:t>
        </w:r>
        <w:r w:rsidR="004C3C88">
          <w:rPr>
            <w:rFonts w:asciiTheme="minorHAnsi" w:eastAsiaTheme="minorEastAsia" w:hAnsiTheme="minorHAnsi" w:cstheme="minorBidi"/>
            <w:b w:val="0"/>
            <w:noProof/>
            <w:sz w:val="22"/>
            <w:szCs w:val="22"/>
          </w:rPr>
          <w:tab/>
        </w:r>
        <w:r w:rsidR="004C3C88" w:rsidRPr="00CB6831">
          <w:rPr>
            <w:rStyle w:val="Hyperlink"/>
            <w:noProof/>
          </w:rPr>
          <w:t>There is no clear use case for the UE to indicate the availability of RVQoE reports when the SCG is deactivated. For simplicity, the same mechanism as for QoE reports could be used.</w:t>
        </w:r>
      </w:hyperlink>
    </w:p>
    <w:p w14:paraId="1056BFA7" w14:textId="034F5EA9" w:rsidR="005416C5" w:rsidRPr="00967EB5" w:rsidRDefault="00D242DE" w:rsidP="00F0258D">
      <w:pPr>
        <w:pStyle w:val="BodyText"/>
      </w:pPr>
      <w:r w:rsidRPr="00761ECD">
        <w:rPr>
          <w:b/>
          <w:bCs/>
        </w:rPr>
        <w:fldChar w:fldCharType="end"/>
      </w:r>
      <w:r w:rsidR="00F0258D">
        <w:rPr>
          <w:b/>
          <w:bCs/>
        </w:rPr>
        <w:t xml:space="preserve"> </w:t>
      </w:r>
    </w:p>
    <w:p w14:paraId="7781B35E" w14:textId="77777777" w:rsidR="00F22426" w:rsidRDefault="003C4B7E">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r>
        <w:rPr>
          <w:b w:val="0"/>
          <w:bCs/>
        </w:rPr>
        <w:fldChar w:fldCharType="begin"/>
      </w:r>
      <w:r w:rsidR="00CF1A68" w:rsidRPr="00761ECD">
        <w:rPr>
          <w:b w:val="0"/>
          <w:bCs/>
        </w:rPr>
        <w:instrText xml:space="preserve"> TOC \n \h \z \t "Proposal" \c </w:instrText>
      </w:r>
      <w:r>
        <w:rPr>
          <w:b w:val="0"/>
          <w:bCs/>
        </w:rPr>
        <w:fldChar w:fldCharType="separate"/>
      </w:r>
      <w:hyperlink w:anchor="_Toc146686967" w:history="1">
        <w:r w:rsidR="00F22426" w:rsidRPr="00AF7446">
          <w:rPr>
            <w:rStyle w:val="Hyperlink"/>
            <w:noProof/>
          </w:rPr>
          <w:t>Proposal 1</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noProof/>
          </w:rPr>
          <w:t>Wait for RAN3 progress related to whether the UE is indicated which QoE configurations should be released or kept when the SN is released.</w:t>
        </w:r>
      </w:hyperlink>
    </w:p>
    <w:p w14:paraId="45CB152F"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68" w:history="1">
        <w:r w:rsidR="00F22426" w:rsidRPr="00AF7446">
          <w:rPr>
            <w:rStyle w:val="Hyperlink"/>
            <w:noProof/>
          </w:rPr>
          <w:t>Proposal 2</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noProof/>
          </w:rPr>
          <w:t>Reconsider the previous RAN2 agreement and let the UE indicate availability of UL data on SRB5 for the purpose of QoE reporting according to legacy mechanisms.</w:t>
        </w:r>
      </w:hyperlink>
    </w:p>
    <w:p w14:paraId="1AF8859E"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69" w:history="1">
        <w:r w:rsidR="00F22426" w:rsidRPr="00AF7446">
          <w:rPr>
            <w:rStyle w:val="Hyperlink"/>
            <w:noProof/>
          </w:rPr>
          <w:t>Proposal 3</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noProof/>
          </w:rPr>
          <w:t>The UE indicates availability of UL data on SRB5 also for the purpose of RVQoE reporting.</w:t>
        </w:r>
      </w:hyperlink>
    </w:p>
    <w:p w14:paraId="4B2AB432"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70" w:history="1">
        <w:r w:rsidR="00F22426" w:rsidRPr="00AF7446">
          <w:rPr>
            <w:rStyle w:val="Hyperlink"/>
            <w:rFonts w:eastAsia="DengXian" w:cs="Arial"/>
            <w:noProof/>
            <w:lang w:val="x-none"/>
          </w:rPr>
          <w:t>Proposal 4</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rFonts w:eastAsia="DengXian" w:cs="Arial"/>
            <w:noProof/>
            <w:lang w:val="en-US"/>
          </w:rPr>
          <w:t>Confirm RAN3’s agreement in the context of an s-based QoE configuration received by MN where</w:t>
        </w:r>
      </w:hyperlink>
    </w:p>
    <w:p w14:paraId="404FCC0A"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71" w:history="1">
        <w:r w:rsidR="00F22426" w:rsidRPr="00AF7446">
          <w:rPr>
            <w:rStyle w:val="Hyperlink"/>
            <w:rFonts w:eastAsia="DengXian"/>
            <w:noProof/>
          </w:rPr>
          <w:t>Proposal 5</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rFonts w:eastAsia="DengXian"/>
            <w:noProof/>
          </w:rPr>
          <w:t>Confirm RAN3’s agreements on defining two different reporting leg indications for QoE and RVQoE, i.e., the RAN will indicate to the UE which SRB shall be used for legacy QoE and which SRB shall be used for RVQoE measurement reporting.</w:t>
        </w:r>
      </w:hyperlink>
    </w:p>
    <w:p w14:paraId="5053685C"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72" w:history="1">
        <w:r w:rsidR="00F22426" w:rsidRPr="00AF7446">
          <w:rPr>
            <w:rStyle w:val="Hyperlink"/>
            <w:rFonts w:eastAsia="DengXian"/>
            <w:noProof/>
          </w:rPr>
          <w:t>Proposal 6</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rFonts w:eastAsia="DengXian"/>
            <w:noProof/>
          </w:rPr>
          <w:t>Confirm RAN3 agreement that for a UE in NR-DC, each legacy QoE configuration can have only one corresponding RVQoE configuration when needed.</w:t>
        </w:r>
      </w:hyperlink>
    </w:p>
    <w:p w14:paraId="2AD76B43"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73" w:history="1">
        <w:r w:rsidR="00F22426" w:rsidRPr="00AF7446">
          <w:rPr>
            <w:rStyle w:val="Hyperlink"/>
            <w:rFonts w:eastAsia="DengXian"/>
            <w:noProof/>
          </w:rPr>
          <w:t>Proposal 4</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rFonts w:eastAsia="DengXian"/>
            <w:noProof/>
            <w:lang w:val="en-US"/>
          </w:rPr>
          <w:t>Confirm RAN3’s agreement in the context of an s-based QoE configuration received by MN where</w:t>
        </w:r>
      </w:hyperlink>
    </w:p>
    <w:p w14:paraId="253ABB03"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74" w:history="1">
        <w:r w:rsidR="00F22426" w:rsidRPr="00AF7446">
          <w:rPr>
            <w:rStyle w:val="Hyperlink"/>
            <w:rFonts w:eastAsia="DengXian"/>
            <w:noProof/>
          </w:rPr>
          <w:t>Proposal 5</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rFonts w:eastAsia="DengXian"/>
            <w:noProof/>
          </w:rPr>
          <w:t>Confirm RAN3’s agreements on defining two different reporting leg indications for QoE and RVQoE, i.e., the RAN will indicate to the UE which SRB shall be used for legacy QoE and which SRB shall be used for RVQoE measurement reporting.</w:t>
        </w:r>
      </w:hyperlink>
    </w:p>
    <w:p w14:paraId="59253B7A" w14:textId="77777777" w:rsidR="00F22426" w:rsidRDefault="00874A6D">
      <w:pPr>
        <w:pStyle w:val="TableofFigures"/>
        <w:tabs>
          <w:tab w:val="right" w:leader="dot" w:pos="9629"/>
        </w:tabs>
        <w:rPr>
          <w:rFonts w:asciiTheme="minorHAnsi" w:eastAsiaTheme="minorEastAsia" w:hAnsiTheme="minorHAnsi" w:cstheme="minorBidi"/>
          <w:b w:val="0"/>
          <w:noProof/>
          <w:kern w:val="2"/>
          <w:sz w:val="22"/>
          <w:szCs w:val="22"/>
          <w:lang w:val="en-US" w:eastAsia="ja-JP"/>
          <w14:ligatures w14:val="standardContextual"/>
        </w:rPr>
      </w:pPr>
      <w:hyperlink w:anchor="_Toc146686975" w:history="1">
        <w:r w:rsidR="00F22426" w:rsidRPr="00AF7446">
          <w:rPr>
            <w:rStyle w:val="Hyperlink"/>
            <w:rFonts w:eastAsia="DengXian"/>
            <w:noProof/>
          </w:rPr>
          <w:t>Proposal 6</w:t>
        </w:r>
        <w:r w:rsidR="00F22426">
          <w:rPr>
            <w:rFonts w:asciiTheme="minorHAnsi" w:eastAsiaTheme="minorEastAsia" w:hAnsiTheme="minorHAnsi" w:cstheme="minorBidi"/>
            <w:b w:val="0"/>
            <w:noProof/>
            <w:kern w:val="2"/>
            <w:sz w:val="22"/>
            <w:szCs w:val="22"/>
            <w:lang w:val="en-US" w:eastAsia="ja-JP"/>
            <w14:ligatures w14:val="standardContextual"/>
          </w:rPr>
          <w:tab/>
        </w:r>
        <w:r w:rsidR="00F22426" w:rsidRPr="00AF7446">
          <w:rPr>
            <w:rStyle w:val="Hyperlink"/>
            <w:rFonts w:eastAsia="DengXian"/>
            <w:noProof/>
          </w:rPr>
          <w:t>For a UE in NR-DC, each legacy QoE configuration can have only one corresponding RVQoE configuration when needed.</w:t>
        </w:r>
      </w:hyperlink>
    </w:p>
    <w:p w14:paraId="6AEFF54E" w14:textId="0C761ED2" w:rsidR="003C4B7E" w:rsidRPr="0048642E" w:rsidRDefault="003C4B7E" w:rsidP="1BE283CE">
      <w:pPr>
        <w:pStyle w:val="Proposal"/>
        <w:numPr>
          <w:ilvl w:val="0"/>
          <w:numId w:val="0"/>
        </w:numPr>
        <w:overflowPunct/>
        <w:autoSpaceDE/>
        <w:autoSpaceDN/>
        <w:adjustRightInd/>
        <w:textAlignment w:val="auto"/>
        <w:rPr>
          <w:rFonts w:eastAsia="DengXian"/>
          <w:lang w:val="en-US"/>
        </w:rPr>
      </w:pPr>
      <w:r>
        <w:fldChar w:fldCharType="end"/>
      </w:r>
    </w:p>
    <w:p w14:paraId="555F807E" w14:textId="7100C917" w:rsidR="00C01F33" w:rsidRPr="003C4B7E" w:rsidRDefault="00C01F33" w:rsidP="00CF1A68">
      <w:pPr>
        <w:pStyle w:val="BodyText"/>
        <w:rPr>
          <w:b/>
          <w:lang w:val="x-none"/>
        </w:rPr>
      </w:pPr>
    </w:p>
    <w:p w14:paraId="4BD14594" w14:textId="77777777" w:rsidR="00F507D1" w:rsidRPr="00CE0424" w:rsidRDefault="00F507D1" w:rsidP="00CE0424">
      <w:pPr>
        <w:pStyle w:val="Heading1"/>
      </w:pPr>
      <w:r w:rsidRPr="00CE0424">
        <w:t>References</w:t>
      </w:r>
    </w:p>
    <w:p w14:paraId="57151E79" w14:textId="5BC3DFAE" w:rsidR="002103F2" w:rsidRDefault="002103F2" w:rsidP="002103F2">
      <w:pPr>
        <w:pStyle w:val="Reference"/>
        <w:rPr>
          <w:lang w:val="de-DE"/>
        </w:rPr>
      </w:pPr>
      <w:bookmarkStart w:id="16"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16"/>
    </w:p>
    <w:p w14:paraId="12D2218D" w14:textId="6AAB2C61" w:rsidR="10743B1C" w:rsidRDefault="10743B1C" w:rsidP="305462E8">
      <w:pPr>
        <w:pStyle w:val="Reference"/>
        <w:rPr>
          <w:lang w:val="de-DE"/>
        </w:rPr>
      </w:pPr>
      <w:r w:rsidRPr="305462E8">
        <w:rPr>
          <w:lang w:val="de-DE"/>
        </w:rPr>
        <w:t>R3-234750, LS on RAN3 progress on QoE in NR-DC, RAN3(ZTE)</w:t>
      </w: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90B6" w14:textId="77777777" w:rsidR="000D615F" w:rsidRDefault="000D615F">
      <w:r>
        <w:separator/>
      </w:r>
    </w:p>
  </w:endnote>
  <w:endnote w:type="continuationSeparator" w:id="0">
    <w:p w14:paraId="61500E50" w14:textId="77777777" w:rsidR="000D615F" w:rsidRDefault="000D615F">
      <w:r>
        <w:continuationSeparator/>
      </w:r>
    </w:p>
  </w:endnote>
  <w:endnote w:type="continuationNotice" w:id="1">
    <w:p w14:paraId="1ACD81B1" w14:textId="77777777" w:rsidR="000D615F" w:rsidRDefault="000D6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E8CC" w14:textId="77777777" w:rsidR="000D615F" w:rsidRDefault="000D615F">
      <w:r>
        <w:separator/>
      </w:r>
    </w:p>
  </w:footnote>
  <w:footnote w:type="continuationSeparator" w:id="0">
    <w:p w14:paraId="0B224929" w14:textId="77777777" w:rsidR="000D615F" w:rsidRDefault="000D615F">
      <w:r>
        <w:continuationSeparator/>
      </w:r>
    </w:p>
  </w:footnote>
  <w:footnote w:type="continuationNotice" w:id="1">
    <w:p w14:paraId="42A8A49B" w14:textId="77777777" w:rsidR="000D615F" w:rsidRDefault="000D6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AA3A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FAA3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multilevel"/>
    <w:tmpl w:val="6C627122"/>
    <w:styleLink w:val="CurrentList3"/>
    <w:lvl w:ilvl="0">
      <w:start w:val="1"/>
      <w:numFmt w:val="decimal"/>
      <w:lvlText w:val="Proposal %1"/>
      <w:lvlJc w:val="left"/>
      <w:pPr>
        <w:tabs>
          <w:tab w:val="num" w:pos="1304"/>
        </w:tabs>
        <w:ind w:left="1304" w:hanging="130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D55517"/>
    <w:multiLevelType w:val="multilevel"/>
    <w:tmpl w:val="B360F350"/>
    <w:styleLink w:val="CurrentList5"/>
    <w:lvl w:ilvl="0">
      <w:start w:val="1"/>
      <w:numFmt w:val="none"/>
      <w:lvlText w:val="Proposal 6"/>
      <w:lvlJc w:val="left"/>
      <w:pPr>
        <w:tabs>
          <w:tab w:val="num" w:pos="1304"/>
        </w:tabs>
        <w:ind w:left="1304" w:hanging="130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56651AB"/>
    <w:multiLevelType w:val="multilevel"/>
    <w:tmpl w:val="69BCED2E"/>
    <w:styleLink w:val="CurrentList6"/>
    <w:lvl w:ilvl="0">
      <w:start w:val="1"/>
      <w:numFmt w:val="none"/>
      <w:lvlText w:val="Proposal 5"/>
      <w:lvlJc w:val="left"/>
      <w:pPr>
        <w:tabs>
          <w:tab w:val="num" w:pos="1304"/>
        </w:tabs>
        <w:ind w:left="1304" w:hanging="130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E1A2DCC"/>
    <w:multiLevelType w:val="multilevel"/>
    <w:tmpl w:val="66BEFCB6"/>
    <w:styleLink w:val="CurrentList13"/>
    <w:lvl w:ilvl="0">
      <w:start w:val="5"/>
      <w:numFmt w:val="decimal"/>
      <w:lvlText w:val="Proposal %1"/>
      <w:lvlJc w:val="left"/>
      <w:pPr>
        <w:ind w:left="360" w:hanging="360"/>
      </w:pPr>
      <w:rPr>
        <w:rFonts w:hint="default"/>
        <w:b/>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bullet"/>
      <w:lvlText w:val=""/>
      <w:lvlJc w:val="left"/>
      <w:pPr>
        <w:ind w:left="2520" w:hanging="360"/>
      </w:pPr>
      <w:rPr>
        <w:rFonts w:ascii="Symbol" w:hAnsi="Symbol"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590C1C"/>
    <w:multiLevelType w:val="multilevel"/>
    <w:tmpl w:val="6C627122"/>
    <w:styleLink w:val="CurrentList2"/>
    <w:lvl w:ilvl="0">
      <w:start w:val="1"/>
      <w:numFmt w:val="decimal"/>
      <w:lvlText w:val="Proposal %1"/>
      <w:lvlJc w:val="left"/>
      <w:pPr>
        <w:tabs>
          <w:tab w:val="num" w:pos="1304"/>
        </w:tabs>
        <w:ind w:left="1304" w:hanging="130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9207AF"/>
    <w:multiLevelType w:val="multilevel"/>
    <w:tmpl w:val="AD3EC16C"/>
    <w:styleLink w:val="CurrentList12"/>
    <w:lvl w:ilvl="0">
      <w:start w:val="1"/>
      <w:numFmt w:val="decimal"/>
      <w:lvlText w:val="Proposal %1"/>
      <w:lvlJc w:val="left"/>
      <w:pPr>
        <w:ind w:left="360" w:hanging="360"/>
      </w:pPr>
      <w:rPr>
        <w:rFonts w:hint="default"/>
        <w:b/>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561C77"/>
    <w:multiLevelType w:val="multilevel"/>
    <w:tmpl w:val="D29EB060"/>
    <w:styleLink w:val="CurrentList8"/>
    <w:lvl w:ilvl="0">
      <w:start w:val="1"/>
      <w:numFmt w:val="none"/>
      <w:lvlText w:val="Proposal 4"/>
      <w:lvlJc w:val="left"/>
      <w:pPr>
        <w:ind w:left="360" w:hanging="360"/>
      </w:pPr>
      <w:rPr>
        <w:rFonts w:hint="default"/>
        <w:b/>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bullet"/>
      <w:lvlText w:val=""/>
      <w:lvlJc w:val="left"/>
      <w:pPr>
        <w:ind w:left="2520" w:hanging="360"/>
      </w:pPr>
      <w:rPr>
        <w:rFonts w:ascii="Symbol" w:hAnsi="Symbol"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EB399F"/>
    <w:multiLevelType w:val="multilevel"/>
    <w:tmpl w:val="D160F5EA"/>
    <w:styleLink w:val="CurrentList4"/>
    <w:lvl w:ilvl="0">
      <w:start w:val="1"/>
      <w:numFmt w:val="none"/>
      <w:lvlText w:val="Proposal 5"/>
      <w:lvlJc w:val="left"/>
      <w:pPr>
        <w:tabs>
          <w:tab w:val="num" w:pos="1304"/>
        </w:tabs>
        <w:ind w:left="1304" w:hanging="1304"/>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E8942CF8"/>
    <w:lvl w:ilvl="0" w:tplc="DFFEB4F8">
      <w:start w:val="1"/>
      <w:numFmt w:val="decimal"/>
      <w:pStyle w:val="Proposal"/>
      <w:lvlText w:val="Proposal %1"/>
      <w:lvlJc w:val="left"/>
      <w:pPr>
        <w:ind w:left="360" w:hanging="360"/>
      </w:pPr>
      <w:rPr>
        <w:rFonts w:hint="default"/>
        <w:b/>
        <w:bCs/>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CF5F04"/>
    <w:multiLevelType w:val="multilevel"/>
    <w:tmpl w:val="4C2A34CE"/>
    <w:styleLink w:val="CurrentList10"/>
    <w:lvl w:ilvl="0">
      <w:start w:val="1"/>
      <w:numFmt w:val="decimal"/>
      <w:lvlText w:val="Proposal %1"/>
      <w:lvlJc w:val="left"/>
      <w:pPr>
        <w:ind w:left="1996" w:hanging="360"/>
      </w:pPr>
      <w:rPr>
        <w:b/>
        <w:bCs/>
        <w:sz w:val="20"/>
        <w:szCs w:val="20"/>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8" w15:restartNumberingAfterBreak="0">
    <w:nsid w:val="42156819"/>
    <w:multiLevelType w:val="hybridMultilevel"/>
    <w:tmpl w:val="F8DE216E"/>
    <w:lvl w:ilvl="0" w:tplc="FFFFFFFF">
      <w:start w:val="5"/>
      <w:numFmt w:val="decimal"/>
      <w:lvlText w:val="Proposal %1"/>
      <w:lvlJc w:val="left"/>
      <w:pPr>
        <w:ind w:left="360" w:hanging="360"/>
      </w:pPr>
      <w:rPr>
        <w:rFonts w:hint="default"/>
        <w:b/>
        <w:bCs/>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E279BF"/>
    <w:multiLevelType w:val="multilevel"/>
    <w:tmpl w:val="63AAE82E"/>
    <w:styleLink w:val="CurrentList7"/>
    <w:lvl w:ilvl="0">
      <w:start w:val="1"/>
      <w:numFmt w:val="decimal"/>
      <w:lvlText w:val="Proposal %1"/>
      <w:lvlJc w:val="left"/>
      <w:pPr>
        <w:ind w:left="360" w:hanging="360"/>
      </w:pPr>
      <w:rPr>
        <w:rFonts w:hint="default"/>
        <w:b/>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multilevel"/>
    <w:tmpl w:val="6E9AA0E6"/>
    <w:styleLink w:val="CurrentList1"/>
    <w:lvl w:ilvl="0">
      <w:start w:val="1"/>
      <w:numFmt w:val="decimal"/>
      <w:lvlText w:val="Proposal %1"/>
      <w:lvlJc w:val="left"/>
      <w:pPr>
        <w:ind w:left="360" w:hanging="360"/>
      </w:pPr>
      <w:rPr>
        <w:b/>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293ABC"/>
    <w:multiLevelType w:val="singleLevel"/>
    <w:tmpl w:val="5D293ABC"/>
    <w:lvl w:ilvl="0">
      <w:start w:val="1"/>
      <w:numFmt w:val="bullet"/>
      <w:lvlText w:val="•"/>
      <w:lvlJc w:val="left"/>
      <w:pPr>
        <w:ind w:left="420" w:hanging="420"/>
      </w:pPr>
      <w:rPr>
        <w:rFonts w:ascii="Arial" w:hAnsi="Arial" w:cs="Arial" w:hint="default"/>
      </w:rPr>
    </w:lvl>
  </w:abstractNum>
  <w:abstractNum w:abstractNumId="25" w15:restartNumberingAfterBreak="0">
    <w:nsid w:val="65B46E2A"/>
    <w:multiLevelType w:val="multilevel"/>
    <w:tmpl w:val="AD3EC16C"/>
    <w:styleLink w:val="CurrentList11"/>
    <w:lvl w:ilvl="0">
      <w:start w:val="1"/>
      <w:numFmt w:val="decimal"/>
      <w:lvlText w:val="Proposal %1"/>
      <w:lvlJc w:val="left"/>
      <w:pPr>
        <w:ind w:left="360" w:hanging="360"/>
      </w:pPr>
      <w:rPr>
        <w:rFonts w:hint="default"/>
        <w:b/>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F83C63"/>
    <w:multiLevelType w:val="multilevel"/>
    <w:tmpl w:val="EF74B934"/>
    <w:styleLink w:val="CurrentList9"/>
    <w:lvl w:ilvl="0">
      <w:start w:val="1"/>
      <w:numFmt w:val="decimal"/>
      <w:lvlText w:val="Proposal %1"/>
      <w:lvlJc w:val="left"/>
      <w:pPr>
        <w:ind w:left="720" w:hanging="360"/>
      </w:pPr>
      <w:rPr>
        <w:b/>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FBA508F"/>
    <w:multiLevelType w:val="hybridMultilevel"/>
    <w:tmpl w:val="F8DE216E"/>
    <w:lvl w:ilvl="0" w:tplc="7F4CFC36">
      <w:start w:val="5"/>
      <w:numFmt w:val="decimal"/>
      <w:lvlText w:val="Proposal %1"/>
      <w:lvlJc w:val="left"/>
      <w:pPr>
        <w:ind w:left="360" w:hanging="360"/>
      </w:pPr>
      <w:rPr>
        <w:rFonts w:hint="default"/>
        <w:b/>
        <w:bCs/>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1">
      <w:start w:val="1"/>
      <w:numFmt w:val="bullet"/>
      <w:lvlText w:val=""/>
      <w:lvlJc w:val="left"/>
      <w:pPr>
        <w:ind w:left="2520" w:hanging="360"/>
      </w:pPr>
      <w:rPr>
        <w:rFonts w:ascii="Symbol" w:hAnsi="Symbol" w:hint="default"/>
      </w:r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5762906">
    <w:abstractNumId w:val="19"/>
  </w:num>
  <w:num w:numId="2" w16cid:durableId="864485412">
    <w:abstractNumId w:val="16"/>
  </w:num>
  <w:num w:numId="3" w16cid:durableId="609900047">
    <w:abstractNumId w:val="2"/>
  </w:num>
  <w:num w:numId="4" w16cid:durableId="1009286134">
    <w:abstractNumId w:val="21"/>
  </w:num>
  <w:num w:numId="5" w16cid:durableId="1849057359">
    <w:abstractNumId w:val="22"/>
  </w:num>
  <w:num w:numId="6" w16cid:durableId="1867939712">
    <w:abstractNumId w:val="23"/>
  </w:num>
  <w:num w:numId="7" w16cid:durableId="539513161">
    <w:abstractNumId w:val="10"/>
  </w:num>
  <w:num w:numId="8" w16cid:durableId="790788344">
    <w:abstractNumId w:val="11"/>
  </w:num>
  <w:num w:numId="9" w16cid:durableId="547958205">
    <w:abstractNumId w:val="8"/>
  </w:num>
  <w:num w:numId="10" w16cid:durableId="1814978892">
    <w:abstractNumId w:val="28"/>
  </w:num>
  <w:num w:numId="11" w16cid:durableId="1517035117">
    <w:abstractNumId w:val="14"/>
  </w:num>
  <w:num w:numId="12" w16cid:durableId="22944837">
    <w:abstractNumId w:val="26"/>
  </w:num>
  <w:num w:numId="13" w16cid:durableId="823787833">
    <w:abstractNumId w:val="27"/>
  </w:num>
  <w:num w:numId="14" w16cid:durableId="524633083">
    <w:abstractNumId w:val="6"/>
  </w:num>
  <w:num w:numId="15" w16cid:durableId="1199507249">
    <w:abstractNumId w:val="1"/>
  </w:num>
  <w:num w:numId="16" w16cid:durableId="29843707">
    <w:abstractNumId w:val="0"/>
  </w:num>
  <w:num w:numId="17" w16cid:durableId="949779095">
    <w:abstractNumId w:val="29"/>
  </w:num>
  <w:num w:numId="18" w16cid:durableId="1217812525">
    <w:abstractNumId w:val="21"/>
    <w:lvlOverride w:ilvl="0">
      <w:startOverride w:val="1"/>
    </w:lvlOverride>
  </w:num>
  <w:num w:numId="19" w16cid:durableId="2017682644">
    <w:abstractNumId w:val="9"/>
  </w:num>
  <w:num w:numId="20" w16cid:durableId="1862040932">
    <w:abstractNumId w:val="3"/>
  </w:num>
  <w:num w:numId="21" w16cid:durableId="1190527725">
    <w:abstractNumId w:val="15"/>
  </w:num>
  <w:num w:numId="22" w16cid:durableId="1702318343">
    <w:abstractNumId w:val="4"/>
  </w:num>
  <w:num w:numId="23" w16cid:durableId="1327786960">
    <w:abstractNumId w:val="5"/>
  </w:num>
  <w:num w:numId="24" w16cid:durableId="1496383836">
    <w:abstractNumId w:val="20"/>
  </w:num>
  <w:num w:numId="25" w16cid:durableId="1248804923">
    <w:abstractNumId w:val="13"/>
  </w:num>
  <w:num w:numId="26" w16cid:durableId="1539658801">
    <w:abstractNumId w:val="30"/>
  </w:num>
  <w:num w:numId="27" w16cid:durableId="440347160">
    <w:abstractNumId w:val="17"/>
  </w:num>
  <w:num w:numId="28" w16cid:durableId="557278384">
    <w:abstractNumId w:val="25"/>
  </w:num>
  <w:num w:numId="29" w16cid:durableId="258102997">
    <w:abstractNumId w:val="12"/>
  </w:num>
  <w:num w:numId="30" w16cid:durableId="848561204">
    <w:abstractNumId w:val="24"/>
  </w:num>
  <w:num w:numId="31" w16cid:durableId="1835293159">
    <w:abstractNumId w:val="7"/>
  </w:num>
  <w:num w:numId="32" w16cid:durableId="1128165821">
    <w:abstractNumId w:val="31"/>
  </w:num>
  <w:num w:numId="33" w16cid:durableId="950015513">
    <w:abstractNumId w:val="16"/>
    <w:lvlOverride w:ilvl="0">
      <w:startOverride w:val="4"/>
    </w:lvlOverride>
  </w:num>
  <w:num w:numId="34" w16cid:durableId="195232446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E9B"/>
    <w:rsid w:val="000023B8"/>
    <w:rsid w:val="00002A37"/>
    <w:rsid w:val="000038C0"/>
    <w:rsid w:val="0000564C"/>
    <w:rsid w:val="00005B84"/>
    <w:rsid w:val="0000609F"/>
    <w:rsid w:val="00006446"/>
    <w:rsid w:val="000064F7"/>
    <w:rsid w:val="00006546"/>
    <w:rsid w:val="00006590"/>
    <w:rsid w:val="00006896"/>
    <w:rsid w:val="00007CDC"/>
    <w:rsid w:val="000115C8"/>
    <w:rsid w:val="00011B28"/>
    <w:rsid w:val="00012EA3"/>
    <w:rsid w:val="00012F78"/>
    <w:rsid w:val="0001373B"/>
    <w:rsid w:val="00013CC4"/>
    <w:rsid w:val="00015D15"/>
    <w:rsid w:val="00016285"/>
    <w:rsid w:val="000166AF"/>
    <w:rsid w:val="00016A91"/>
    <w:rsid w:val="000170F0"/>
    <w:rsid w:val="00017479"/>
    <w:rsid w:val="000176E8"/>
    <w:rsid w:val="000217F0"/>
    <w:rsid w:val="00022185"/>
    <w:rsid w:val="000233B4"/>
    <w:rsid w:val="00023610"/>
    <w:rsid w:val="00023AF4"/>
    <w:rsid w:val="00024AAE"/>
    <w:rsid w:val="00024D4D"/>
    <w:rsid w:val="00024D61"/>
    <w:rsid w:val="00024E72"/>
    <w:rsid w:val="00024EA7"/>
    <w:rsid w:val="0002508E"/>
    <w:rsid w:val="0002564D"/>
    <w:rsid w:val="00025ECA"/>
    <w:rsid w:val="00026937"/>
    <w:rsid w:val="00026FAD"/>
    <w:rsid w:val="000274CE"/>
    <w:rsid w:val="00027E41"/>
    <w:rsid w:val="0003153F"/>
    <w:rsid w:val="000325B8"/>
    <w:rsid w:val="00032670"/>
    <w:rsid w:val="0003357D"/>
    <w:rsid w:val="00033F98"/>
    <w:rsid w:val="00034C15"/>
    <w:rsid w:val="0003630B"/>
    <w:rsid w:val="00036BA1"/>
    <w:rsid w:val="0004001C"/>
    <w:rsid w:val="000412B9"/>
    <w:rsid w:val="00041ECD"/>
    <w:rsid w:val="000422E2"/>
    <w:rsid w:val="00042B89"/>
    <w:rsid w:val="00042F22"/>
    <w:rsid w:val="000444EF"/>
    <w:rsid w:val="00047EF6"/>
    <w:rsid w:val="00050A03"/>
    <w:rsid w:val="00050A53"/>
    <w:rsid w:val="00051AFA"/>
    <w:rsid w:val="000525ED"/>
    <w:rsid w:val="000529BB"/>
    <w:rsid w:val="00052A07"/>
    <w:rsid w:val="000534E3"/>
    <w:rsid w:val="00053547"/>
    <w:rsid w:val="00055286"/>
    <w:rsid w:val="00055CCE"/>
    <w:rsid w:val="0005606A"/>
    <w:rsid w:val="00056791"/>
    <w:rsid w:val="000569B0"/>
    <w:rsid w:val="00057117"/>
    <w:rsid w:val="000575EC"/>
    <w:rsid w:val="000615CA"/>
    <w:rsid w:val="0006160E"/>
    <w:rsid w:val="000616E7"/>
    <w:rsid w:val="000617D2"/>
    <w:rsid w:val="000626DC"/>
    <w:rsid w:val="00062924"/>
    <w:rsid w:val="00063AB9"/>
    <w:rsid w:val="0006487E"/>
    <w:rsid w:val="00065E1A"/>
    <w:rsid w:val="0006791E"/>
    <w:rsid w:val="00067AC8"/>
    <w:rsid w:val="000705FA"/>
    <w:rsid w:val="00070C4B"/>
    <w:rsid w:val="00073E49"/>
    <w:rsid w:val="00074A16"/>
    <w:rsid w:val="00075D5E"/>
    <w:rsid w:val="0007603F"/>
    <w:rsid w:val="000766C2"/>
    <w:rsid w:val="00077E5F"/>
    <w:rsid w:val="0008036A"/>
    <w:rsid w:val="00080621"/>
    <w:rsid w:val="00081330"/>
    <w:rsid w:val="000819F3"/>
    <w:rsid w:val="00081AE6"/>
    <w:rsid w:val="00081C45"/>
    <w:rsid w:val="00081EE5"/>
    <w:rsid w:val="00082257"/>
    <w:rsid w:val="00083D87"/>
    <w:rsid w:val="00083DD6"/>
    <w:rsid w:val="000855EB"/>
    <w:rsid w:val="0008584F"/>
    <w:rsid w:val="00085B52"/>
    <w:rsid w:val="0008656B"/>
    <w:rsid w:val="000866F2"/>
    <w:rsid w:val="00086755"/>
    <w:rsid w:val="00086BDD"/>
    <w:rsid w:val="000878EC"/>
    <w:rsid w:val="0009009F"/>
    <w:rsid w:val="0009024D"/>
    <w:rsid w:val="00090535"/>
    <w:rsid w:val="00090A0A"/>
    <w:rsid w:val="00090CE5"/>
    <w:rsid w:val="00091488"/>
    <w:rsid w:val="00091557"/>
    <w:rsid w:val="0009183C"/>
    <w:rsid w:val="00091A0B"/>
    <w:rsid w:val="000924C1"/>
    <w:rsid w:val="000924F0"/>
    <w:rsid w:val="00093474"/>
    <w:rsid w:val="00093F9B"/>
    <w:rsid w:val="00094E09"/>
    <w:rsid w:val="0009510F"/>
    <w:rsid w:val="00096224"/>
    <w:rsid w:val="000A1526"/>
    <w:rsid w:val="000A1B7B"/>
    <w:rsid w:val="000A1FE0"/>
    <w:rsid w:val="000A21E0"/>
    <w:rsid w:val="000A269D"/>
    <w:rsid w:val="000A3669"/>
    <w:rsid w:val="000A3F11"/>
    <w:rsid w:val="000A56F2"/>
    <w:rsid w:val="000A7CB3"/>
    <w:rsid w:val="000B08CC"/>
    <w:rsid w:val="000B14ED"/>
    <w:rsid w:val="000B2719"/>
    <w:rsid w:val="000B31D4"/>
    <w:rsid w:val="000B3A8F"/>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0C7"/>
    <w:rsid w:val="000C04BA"/>
    <w:rsid w:val="000C0704"/>
    <w:rsid w:val="000C12F3"/>
    <w:rsid w:val="000C165A"/>
    <w:rsid w:val="000C1DC9"/>
    <w:rsid w:val="000C2946"/>
    <w:rsid w:val="000C2E19"/>
    <w:rsid w:val="000C449E"/>
    <w:rsid w:val="000C451A"/>
    <w:rsid w:val="000D008A"/>
    <w:rsid w:val="000D0D07"/>
    <w:rsid w:val="000D1439"/>
    <w:rsid w:val="000D230E"/>
    <w:rsid w:val="000D2545"/>
    <w:rsid w:val="000D2CEB"/>
    <w:rsid w:val="000D4175"/>
    <w:rsid w:val="000D431C"/>
    <w:rsid w:val="000D4797"/>
    <w:rsid w:val="000D5A63"/>
    <w:rsid w:val="000D615F"/>
    <w:rsid w:val="000D7FA4"/>
    <w:rsid w:val="000E0527"/>
    <w:rsid w:val="000E161B"/>
    <w:rsid w:val="000E1E92"/>
    <w:rsid w:val="000E20B6"/>
    <w:rsid w:val="000E22B9"/>
    <w:rsid w:val="000E57B8"/>
    <w:rsid w:val="000E5F45"/>
    <w:rsid w:val="000E7061"/>
    <w:rsid w:val="000E74A5"/>
    <w:rsid w:val="000E794D"/>
    <w:rsid w:val="000E7CCD"/>
    <w:rsid w:val="000F06D6"/>
    <w:rsid w:val="000F0AB9"/>
    <w:rsid w:val="000F0EB1"/>
    <w:rsid w:val="000F0FE0"/>
    <w:rsid w:val="000F1106"/>
    <w:rsid w:val="000F1312"/>
    <w:rsid w:val="000F1A8E"/>
    <w:rsid w:val="000F2894"/>
    <w:rsid w:val="000F2D09"/>
    <w:rsid w:val="000F2FEB"/>
    <w:rsid w:val="000F3705"/>
    <w:rsid w:val="000F37C3"/>
    <w:rsid w:val="000F3BE9"/>
    <w:rsid w:val="000F3F6C"/>
    <w:rsid w:val="000F472A"/>
    <w:rsid w:val="000F47C3"/>
    <w:rsid w:val="000F6111"/>
    <w:rsid w:val="000F6DF3"/>
    <w:rsid w:val="000F7522"/>
    <w:rsid w:val="000F7629"/>
    <w:rsid w:val="001002EC"/>
    <w:rsid w:val="001005FF"/>
    <w:rsid w:val="00100CF6"/>
    <w:rsid w:val="0010385E"/>
    <w:rsid w:val="00103D85"/>
    <w:rsid w:val="00103F29"/>
    <w:rsid w:val="00104233"/>
    <w:rsid w:val="00104E8A"/>
    <w:rsid w:val="00105C62"/>
    <w:rsid w:val="001061D9"/>
    <w:rsid w:val="001062FB"/>
    <w:rsid w:val="001063E6"/>
    <w:rsid w:val="0010709D"/>
    <w:rsid w:val="001074B8"/>
    <w:rsid w:val="00107A6B"/>
    <w:rsid w:val="00107CDA"/>
    <w:rsid w:val="00107F35"/>
    <w:rsid w:val="0011028F"/>
    <w:rsid w:val="00110F59"/>
    <w:rsid w:val="001114B6"/>
    <w:rsid w:val="00111864"/>
    <w:rsid w:val="0011199B"/>
    <w:rsid w:val="00111B19"/>
    <w:rsid w:val="00111FEB"/>
    <w:rsid w:val="001122A4"/>
    <w:rsid w:val="00112A0A"/>
    <w:rsid w:val="00113CF4"/>
    <w:rsid w:val="00114D27"/>
    <w:rsid w:val="001153EA"/>
    <w:rsid w:val="00115643"/>
    <w:rsid w:val="00115B90"/>
    <w:rsid w:val="00116765"/>
    <w:rsid w:val="00117D63"/>
    <w:rsid w:val="001206DE"/>
    <w:rsid w:val="001219F5"/>
    <w:rsid w:val="00121A20"/>
    <w:rsid w:val="00122729"/>
    <w:rsid w:val="00122D48"/>
    <w:rsid w:val="0012377F"/>
    <w:rsid w:val="0012417F"/>
    <w:rsid w:val="00124314"/>
    <w:rsid w:val="00124781"/>
    <w:rsid w:val="001247A9"/>
    <w:rsid w:val="00124BAC"/>
    <w:rsid w:val="0012556D"/>
    <w:rsid w:val="00125780"/>
    <w:rsid w:val="00125783"/>
    <w:rsid w:val="00125910"/>
    <w:rsid w:val="00126B4A"/>
    <w:rsid w:val="0012785E"/>
    <w:rsid w:val="0013026F"/>
    <w:rsid w:val="00130495"/>
    <w:rsid w:val="001322B9"/>
    <w:rsid w:val="0013240B"/>
    <w:rsid w:val="00132852"/>
    <w:rsid w:val="00132B37"/>
    <w:rsid w:val="00132F13"/>
    <w:rsid w:val="00132FD0"/>
    <w:rsid w:val="00133FEE"/>
    <w:rsid w:val="001344C0"/>
    <w:rsid w:val="001346FA"/>
    <w:rsid w:val="00135252"/>
    <w:rsid w:val="001353D2"/>
    <w:rsid w:val="001356D1"/>
    <w:rsid w:val="001360C1"/>
    <w:rsid w:val="00136968"/>
    <w:rsid w:val="00136F8E"/>
    <w:rsid w:val="00137AB5"/>
    <w:rsid w:val="00137F0B"/>
    <w:rsid w:val="001411DC"/>
    <w:rsid w:val="00141917"/>
    <w:rsid w:val="00143088"/>
    <w:rsid w:val="00143861"/>
    <w:rsid w:val="0014424A"/>
    <w:rsid w:val="0014489B"/>
    <w:rsid w:val="00144ACD"/>
    <w:rsid w:val="00144BA2"/>
    <w:rsid w:val="00144F60"/>
    <w:rsid w:val="00145802"/>
    <w:rsid w:val="001464B7"/>
    <w:rsid w:val="001464BB"/>
    <w:rsid w:val="001467D7"/>
    <w:rsid w:val="001471F1"/>
    <w:rsid w:val="001504FD"/>
    <w:rsid w:val="00150C4F"/>
    <w:rsid w:val="0015137B"/>
    <w:rsid w:val="00151728"/>
    <w:rsid w:val="00151B08"/>
    <w:rsid w:val="00151E23"/>
    <w:rsid w:val="001526E0"/>
    <w:rsid w:val="00152737"/>
    <w:rsid w:val="0015286B"/>
    <w:rsid w:val="00152E88"/>
    <w:rsid w:val="0015414A"/>
    <w:rsid w:val="001551B5"/>
    <w:rsid w:val="00155E4C"/>
    <w:rsid w:val="00156387"/>
    <w:rsid w:val="0015679C"/>
    <w:rsid w:val="00160B7C"/>
    <w:rsid w:val="00160D9C"/>
    <w:rsid w:val="00161012"/>
    <w:rsid w:val="001612FE"/>
    <w:rsid w:val="001613C1"/>
    <w:rsid w:val="0016143B"/>
    <w:rsid w:val="001622DE"/>
    <w:rsid w:val="00162A24"/>
    <w:rsid w:val="00163F65"/>
    <w:rsid w:val="001646DE"/>
    <w:rsid w:val="001659C1"/>
    <w:rsid w:val="00167993"/>
    <w:rsid w:val="001702BB"/>
    <w:rsid w:val="001708ED"/>
    <w:rsid w:val="00170C1A"/>
    <w:rsid w:val="00170CD5"/>
    <w:rsid w:val="00170EC9"/>
    <w:rsid w:val="00171214"/>
    <w:rsid w:val="001715AA"/>
    <w:rsid w:val="001715E3"/>
    <w:rsid w:val="00171CAA"/>
    <w:rsid w:val="00171FD9"/>
    <w:rsid w:val="00172540"/>
    <w:rsid w:val="00173A8E"/>
    <w:rsid w:val="0017502C"/>
    <w:rsid w:val="00175B05"/>
    <w:rsid w:val="00175E82"/>
    <w:rsid w:val="001761D7"/>
    <w:rsid w:val="001765AF"/>
    <w:rsid w:val="0018011E"/>
    <w:rsid w:val="001807AB"/>
    <w:rsid w:val="0018143F"/>
    <w:rsid w:val="001816DA"/>
    <w:rsid w:val="00181B57"/>
    <w:rsid w:val="00181EAB"/>
    <w:rsid w:val="00181FF8"/>
    <w:rsid w:val="00183B9C"/>
    <w:rsid w:val="0018473A"/>
    <w:rsid w:val="00184EA0"/>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5F39"/>
    <w:rsid w:val="001A6173"/>
    <w:rsid w:val="001A619F"/>
    <w:rsid w:val="001A64B8"/>
    <w:rsid w:val="001A6CBA"/>
    <w:rsid w:val="001B0252"/>
    <w:rsid w:val="001B0BA4"/>
    <w:rsid w:val="001B0D97"/>
    <w:rsid w:val="001B1E2A"/>
    <w:rsid w:val="001B26ED"/>
    <w:rsid w:val="001B5672"/>
    <w:rsid w:val="001B5A5D"/>
    <w:rsid w:val="001B62E6"/>
    <w:rsid w:val="001B6EE2"/>
    <w:rsid w:val="001C0368"/>
    <w:rsid w:val="001C0786"/>
    <w:rsid w:val="001C1CE5"/>
    <w:rsid w:val="001C27FB"/>
    <w:rsid w:val="001C3D2A"/>
    <w:rsid w:val="001C4C86"/>
    <w:rsid w:val="001C5437"/>
    <w:rsid w:val="001C5EE6"/>
    <w:rsid w:val="001C616D"/>
    <w:rsid w:val="001C63BF"/>
    <w:rsid w:val="001C6635"/>
    <w:rsid w:val="001C7DA1"/>
    <w:rsid w:val="001D0DE4"/>
    <w:rsid w:val="001D1818"/>
    <w:rsid w:val="001D19E9"/>
    <w:rsid w:val="001D1B2A"/>
    <w:rsid w:val="001D1BC3"/>
    <w:rsid w:val="001D2531"/>
    <w:rsid w:val="001D2DC6"/>
    <w:rsid w:val="001D4589"/>
    <w:rsid w:val="001D467D"/>
    <w:rsid w:val="001D4916"/>
    <w:rsid w:val="001D4D62"/>
    <w:rsid w:val="001D50C9"/>
    <w:rsid w:val="001D511D"/>
    <w:rsid w:val="001D51BA"/>
    <w:rsid w:val="001D53E7"/>
    <w:rsid w:val="001D6342"/>
    <w:rsid w:val="001D6352"/>
    <w:rsid w:val="001D6D53"/>
    <w:rsid w:val="001E10FC"/>
    <w:rsid w:val="001E296A"/>
    <w:rsid w:val="001E3F88"/>
    <w:rsid w:val="001E507E"/>
    <w:rsid w:val="001E51B9"/>
    <w:rsid w:val="001E58E2"/>
    <w:rsid w:val="001E658C"/>
    <w:rsid w:val="001E7AED"/>
    <w:rsid w:val="001E7E5A"/>
    <w:rsid w:val="001F055B"/>
    <w:rsid w:val="001F0870"/>
    <w:rsid w:val="001F1A76"/>
    <w:rsid w:val="001F3916"/>
    <w:rsid w:val="001F3C1F"/>
    <w:rsid w:val="001F53C0"/>
    <w:rsid w:val="001F54C5"/>
    <w:rsid w:val="001F662C"/>
    <w:rsid w:val="001F7074"/>
    <w:rsid w:val="001F7818"/>
    <w:rsid w:val="001F7C73"/>
    <w:rsid w:val="001F7F5C"/>
    <w:rsid w:val="002003AF"/>
    <w:rsid w:val="00200490"/>
    <w:rsid w:val="00200DEF"/>
    <w:rsid w:val="00201403"/>
    <w:rsid w:val="00201F3A"/>
    <w:rsid w:val="0020213A"/>
    <w:rsid w:val="00202A7C"/>
    <w:rsid w:val="00202AC7"/>
    <w:rsid w:val="002034F2"/>
    <w:rsid w:val="00203D20"/>
    <w:rsid w:val="00203F96"/>
    <w:rsid w:val="00204B11"/>
    <w:rsid w:val="00204E18"/>
    <w:rsid w:val="002054A7"/>
    <w:rsid w:val="002064E5"/>
    <w:rsid w:val="002069B2"/>
    <w:rsid w:val="00206E77"/>
    <w:rsid w:val="00207692"/>
    <w:rsid w:val="002076FB"/>
    <w:rsid w:val="00207DB8"/>
    <w:rsid w:val="00207FA3"/>
    <w:rsid w:val="00210151"/>
    <w:rsid w:val="002103F2"/>
    <w:rsid w:val="00210BB5"/>
    <w:rsid w:val="00212048"/>
    <w:rsid w:val="0021400A"/>
    <w:rsid w:val="00214AB6"/>
    <w:rsid w:val="00214DA8"/>
    <w:rsid w:val="00215423"/>
    <w:rsid w:val="002155C2"/>
    <w:rsid w:val="002158FA"/>
    <w:rsid w:val="00217F42"/>
    <w:rsid w:val="00220210"/>
    <w:rsid w:val="00220600"/>
    <w:rsid w:val="00220C46"/>
    <w:rsid w:val="00222470"/>
    <w:rsid w:val="002224AE"/>
    <w:rsid w:val="002224DB"/>
    <w:rsid w:val="00223FCB"/>
    <w:rsid w:val="00223FE3"/>
    <w:rsid w:val="00224D75"/>
    <w:rsid w:val="00224F3E"/>
    <w:rsid w:val="00224F87"/>
    <w:rsid w:val="002252C3"/>
    <w:rsid w:val="00225C54"/>
    <w:rsid w:val="002271C9"/>
    <w:rsid w:val="00230765"/>
    <w:rsid w:val="00230976"/>
    <w:rsid w:val="00230D18"/>
    <w:rsid w:val="002319E4"/>
    <w:rsid w:val="00233720"/>
    <w:rsid w:val="00233870"/>
    <w:rsid w:val="00234242"/>
    <w:rsid w:val="00234F6C"/>
    <w:rsid w:val="002351AF"/>
    <w:rsid w:val="00235632"/>
    <w:rsid w:val="00235872"/>
    <w:rsid w:val="002366AC"/>
    <w:rsid w:val="0023750E"/>
    <w:rsid w:val="00241559"/>
    <w:rsid w:val="002423EF"/>
    <w:rsid w:val="00242777"/>
    <w:rsid w:val="00242B77"/>
    <w:rsid w:val="00242E8C"/>
    <w:rsid w:val="002435B3"/>
    <w:rsid w:val="002457F1"/>
    <w:rsid w:val="002458EB"/>
    <w:rsid w:val="00245CD5"/>
    <w:rsid w:val="002500C8"/>
    <w:rsid w:val="00250246"/>
    <w:rsid w:val="00250354"/>
    <w:rsid w:val="0025440E"/>
    <w:rsid w:val="00254CD5"/>
    <w:rsid w:val="00254CDD"/>
    <w:rsid w:val="00256335"/>
    <w:rsid w:val="002570A8"/>
    <w:rsid w:val="00257543"/>
    <w:rsid w:val="00260849"/>
    <w:rsid w:val="00261671"/>
    <w:rsid w:val="002617E7"/>
    <w:rsid w:val="00262985"/>
    <w:rsid w:val="00262B9D"/>
    <w:rsid w:val="00262BA4"/>
    <w:rsid w:val="00263698"/>
    <w:rsid w:val="00264228"/>
    <w:rsid w:val="00264334"/>
    <w:rsid w:val="002646E5"/>
    <w:rsid w:val="0026473E"/>
    <w:rsid w:val="002647AC"/>
    <w:rsid w:val="00266214"/>
    <w:rsid w:val="002672CB"/>
    <w:rsid w:val="00267C83"/>
    <w:rsid w:val="00270C0C"/>
    <w:rsid w:val="002712AF"/>
    <w:rsid w:val="0027144F"/>
    <w:rsid w:val="00271813"/>
    <w:rsid w:val="00271F3A"/>
    <w:rsid w:val="00272FE8"/>
    <w:rsid w:val="00273278"/>
    <w:rsid w:val="002737F4"/>
    <w:rsid w:val="00273EFC"/>
    <w:rsid w:val="00275EFB"/>
    <w:rsid w:val="00277B63"/>
    <w:rsid w:val="002805F5"/>
    <w:rsid w:val="00280751"/>
    <w:rsid w:val="00281CB1"/>
    <w:rsid w:val="002821B6"/>
    <w:rsid w:val="0028280A"/>
    <w:rsid w:val="002830A6"/>
    <w:rsid w:val="002837E7"/>
    <w:rsid w:val="0028444B"/>
    <w:rsid w:val="00284582"/>
    <w:rsid w:val="002849D0"/>
    <w:rsid w:val="0028513F"/>
    <w:rsid w:val="00285439"/>
    <w:rsid w:val="00285DE3"/>
    <w:rsid w:val="00286964"/>
    <w:rsid w:val="00286ACD"/>
    <w:rsid w:val="0028705C"/>
    <w:rsid w:val="002870B2"/>
    <w:rsid w:val="00287838"/>
    <w:rsid w:val="00287CC5"/>
    <w:rsid w:val="002907B5"/>
    <w:rsid w:val="00290AF4"/>
    <w:rsid w:val="002918D4"/>
    <w:rsid w:val="00292BE2"/>
    <w:rsid w:val="00292EB7"/>
    <w:rsid w:val="0029367C"/>
    <w:rsid w:val="00294F0C"/>
    <w:rsid w:val="00295DAB"/>
    <w:rsid w:val="00296227"/>
    <w:rsid w:val="00296675"/>
    <w:rsid w:val="00296CB5"/>
    <w:rsid w:val="00296F44"/>
    <w:rsid w:val="002970DC"/>
    <w:rsid w:val="0029777D"/>
    <w:rsid w:val="002A055E"/>
    <w:rsid w:val="002A0D0B"/>
    <w:rsid w:val="002A1D4E"/>
    <w:rsid w:val="002A2869"/>
    <w:rsid w:val="002A3839"/>
    <w:rsid w:val="002A3E0D"/>
    <w:rsid w:val="002A6794"/>
    <w:rsid w:val="002A745A"/>
    <w:rsid w:val="002B00F0"/>
    <w:rsid w:val="002B0652"/>
    <w:rsid w:val="002B0821"/>
    <w:rsid w:val="002B15A6"/>
    <w:rsid w:val="002B23C0"/>
    <w:rsid w:val="002B24C7"/>
    <w:rsid w:val="002B24D6"/>
    <w:rsid w:val="002B26BC"/>
    <w:rsid w:val="002B2911"/>
    <w:rsid w:val="002B2E2E"/>
    <w:rsid w:val="002B38A6"/>
    <w:rsid w:val="002B3B97"/>
    <w:rsid w:val="002B3D69"/>
    <w:rsid w:val="002B4AA0"/>
    <w:rsid w:val="002B5D57"/>
    <w:rsid w:val="002B71CC"/>
    <w:rsid w:val="002B747E"/>
    <w:rsid w:val="002C002F"/>
    <w:rsid w:val="002C0AFC"/>
    <w:rsid w:val="002C151B"/>
    <w:rsid w:val="002C1AAF"/>
    <w:rsid w:val="002C2322"/>
    <w:rsid w:val="002C294C"/>
    <w:rsid w:val="002C41E6"/>
    <w:rsid w:val="002D0401"/>
    <w:rsid w:val="002D071A"/>
    <w:rsid w:val="002D091E"/>
    <w:rsid w:val="002D11A4"/>
    <w:rsid w:val="002D15C1"/>
    <w:rsid w:val="002D18A2"/>
    <w:rsid w:val="002D2BE1"/>
    <w:rsid w:val="002D34B2"/>
    <w:rsid w:val="002D373E"/>
    <w:rsid w:val="002D4246"/>
    <w:rsid w:val="002D43F6"/>
    <w:rsid w:val="002D48B0"/>
    <w:rsid w:val="002D5B37"/>
    <w:rsid w:val="002D6B73"/>
    <w:rsid w:val="002D7637"/>
    <w:rsid w:val="002D7FB7"/>
    <w:rsid w:val="002E0E7C"/>
    <w:rsid w:val="002E17F2"/>
    <w:rsid w:val="002E19A7"/>
    <w:rsid w:val="002E23CA"/>
    <w:rsid w:val="002E2FAF"/>
    <w:rsid w:val="002E46E5"/>
    <w:rsid w:val="002E5123"/>
    <w:rsid w:val="002E56F6"/>
    <w:rsid w:val="002E6E5B"/>
    <w:rsid w:val="002E6F21"/>
    <w:rsid w:val="002E7065"/>
    <w:rsid w:val="002E751C"/>
    <w:rsid w:val="002E7CAE"/>
    <w:rsid w:val="002F268D"/>
    <w:rsid w:val="002F2771"/>
    <w:rsid w:val="002F2D27"/>
    <w:rsid w:val="002F37A9"/>
    <w:rsid w:val="002F4934"/>
    <w:rsid w:val="002F498E"/>
    <w:rsid w:val="002F58E5"/>
    <w:rsid w:val="0030036B"/>
    <w:rsid w:val="003009CB"/>
    <w:rsid w:val="00300AA2"/>
    <w:rsid w:val="00301CE6"/>
    <w:rsid w:val="0030256B"/>
    <w:rsid w:val="003041F5"/>
    <w:rsid w:val="00304FFC"/>
    <w:rsid w:val="0030501F"/>
    <w:rsid w:val="0030525A"/>
    <w:rsid w:val="003069A8"/>
    <w:rsid w:val="00306C00"/>
    <w:rsid w:val="00307361"/>
    <w:rsid w:val="00307375"/>
    <w:rsid w:val="00307A41"/>
    <w:rsid w:val="00307BA1"/>
    <w:rsid w:val="003109F6"/>
    <w:rsid w:val="00310CBC"/>
    <w:rsid w:val="003111E2"/>
    <w:rsid w:val="00311702"/>
    <w:rsid w:val="00311E72"/>
    <w:rsid w:val="00311E82"/>
    <w:rsid w:val="00312080"/>
    <w:rsid w:val="0031254E"/>
    <w:rsid w:val="00312E34"/>
    <w:rsid w:val="003132DB"/>
    <w:rsid w:val="003137E7"/>
    <w:rsid w:val="00313CA9"/>
    <w:rsid w:val="00313FD6"/>
    <w:rsid w:val="003143BD"/>
    <w:rsid w:val="003143F3"/>
    <w:rsid w:val="00314B64"/>
    <w:rsid w:val="0031501E"/>
    <w:rsid w:val="00315363"/>
    <w:rsid w:val="00315A8E"/>
    <w:rsid w:val="00316501"/>
    <w:rsid w:val="003167E0"/>
    <w:rsid w:val="003169C6"/>
    <w:rsid w:val="003175D4"/>
    <w:rsid w:val="003203ED"/>
    <w:rsid w:val="003218B4"/>
    <w:rsid w:val="00322262"/>
    <w:rsid w:val="0032249E"/>
    <w:rsid w:val="00322C9F"/>
    <w:rsid w:val="00322E3A"/>
    <w:rsid w:val="00323077"/>
    <w:rsid w:val="00323471"/>
    <w:rsid w:val="00323E31"/>
    <w:rsid w:val="00324232"/>
    <w:rsid w:val="00324746"/>
    <w:rsid w:val="00324D23"/>
    <w:rsid w:val="00324E5C"/>
    <w:rsid w:val="00325467"/>
    <w:rsid w:val="003254B0"/>
    <w:rsid w:val="003258A5"/>
    <w:rsid w:val="00326ED0"/>
    <w:rsid w:val="003272CD"/>
    <w:rsid w:val="00327E04"/>
    <w:rsid w:val="00327EAB"/>
    <w:rsid w:val="00330EAB"/>
    <w:rsid w:val="0033108B"/>
    <w:rsid w:val="00331751"/>
    <w:rsid w:val="00332E1C"/>
    <w:rsid w:val="00333B33"/>
    <w:rsid w:val="00334579"/>
    <w:rsid w:val="00335513"/>
    <w:rsid w:val="00335858"/>
    <w:rsid w:val="003365FA"/>
    <w:rsid w:val="00336620"/>
    <w:rsid w:val="00336BDA"/>
    <w:rsid w:val="003400D1"/>
    <w:rsid w:val="00340AC4"/>
    <w:rsid w:val="0034158C"/>
    <w:rsid w:val="00342504"/>
    <w:rsid w:val="00342BD7"/>
    <w:rsid w:val="00343D0C"/>
    <w:rsid w:val="0034421E"/>
    <w:rsid w:val="00344897"/>
    <w:rsid w:val="0034565E"/>
    <w:rsid w:val="0034601D"/>
    <w:rsid w:val="0034673E"/>
    <w:rsid w:val="00346DB5"/>
    <w:rsid w:val="00347146"/>
    <w:rsid w:val="003477B1"/>
    <w:rsid w:val="00350D30"/>
    <w:rsid w:val="00352076"/>
    <w:rsid w:val="0035310E"/>
    <w:rsid w:val="00353CFF"/>
    <w:rsid w:val="00353DE8"/>
    <w:rsid w:val="00354BBC"/>
    <w:rsid w:val="00354E5A"/>
    <w:rsid w:val="00356E34"/>
    <w:rsid w:val="00357039"/>
    <w:rsid w:val="00357380"/>
    <w:rsid w:val="00357E8A"/>
    <w:rsid w:val="003602D9"/>
    <w:rsid w:val="003604CE"/>
    <w:rsid w:val="0036134B"/>
    <w:rsid w:val="00362687"/>
    <w:rsid w:val="0036299B"/>
    <w:rsid w:val="003633D1"/>
    <w:rsid w:val="0036384A"/>
    <w:rsid w:val="00365775"/>
    <w:rsid w:val="00366849"/>
    <w:rsid w:val="0036737E"/>
    <w:rsid w:val="00367431"/>
    <w:rsid w:val="0037067A"/>
    <w:rsid w:val="00370AA5"/>
    <w:rsid w:val="00370E47"/>
    <w:rsid w:val="00371500"/>
    <w:rsid w:val="00371514"/>
    <w:rsid w:val="003716B1"/>
    <w:rsid w:val="00371B4E"/>
    <w:rsid w:val="00372853"/>
    <w:rsid w:val="00373B3E"/>
    <w:rsid w:val="003742AC"/>
    <w:rsid w:val="00374E63"/>
    <w:rsid w:val="00375148"/>
    <w:rsid w:val="0037539F"/>
    <w:rsid w:val="00376884"/>
    <w:rsid w:val="00376D63"/>
    <w:rsid w:val="0037729D"/>
    <w:rsid w:val="00377701"/>
    <w:rsid w:val="00377CE1"/>
    <w:rsid w:val="00380D25"/>
    <w:rsid w:val="0038124B"/>
    <w:rsid w:val="0038186A"/>
    <w:rsid w:val="00382023"/>
    <w:rsid w:val="0038376A"/>
    <w:rsid w:val="00384D9F"/>
    <w:rsid w:val="00384F47"/>
    <w:rsid w:val="00385B3C"/>
    <w:rsid w:val="00385BF0"/>
    <w:rsid w:val="00385FCE"/>
    <w:rsid w:val="00386551"/>
    <w:rsid w:val="003874E2"/>
    <w:rsid w:val="00387909"/>
    <w:rsid w:val="0039106F"/>
    <w:rsid w:val="00391125"/>
    <w:rsid w:val="003918A6"/>
    <w:rsid w:val="00391ADF"/>
    <w:rsid w:val="00392BE3"/>
    <w:rsid w:val="003939FF"/>
    <w:rsid w:val="003959BC"/>
    <w:rsid w:val="00395DC6"/>
    <w:rsid w:val="00395E65"/>
    <w:rsid w:val="0039614F"/>
    <w:rsid w:val="00396744"/>
    <w:rsid w:val="00397047"/>
    <w:rsid w:val="00397345"/>
    <w:rsid w:val="003976B6"/>
    <w:rsid w:val="00397879"/>
    <w:rsid w:val="00397AB1"/>
    <w:rsid w:val="003A0A1A"/>
    <w:rsid w:val="003A14C3"/>
    <w:rsid w:val="003A1A76"/>
    <w:rsid w:val="003A1BDA"/>
    <w:rsid w:val="003A207F"/>
    <w:rsid w:val="003A2223"/>
    <w:rsid w:val="003A250D"/>
    <w:rsid w:val="003A2A0F"/>
    <w:rsid w:val="003A3491"/>
    <w:rsid w:val="003A3FCB"/>
    <w:rsid w:val="003A4087"/>
    <w:rsid w:val="003A4402"/>
    <w:rsid w:val="003A45A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7EA"/>
    <w:rsid w:val="003C1F41"/>
    <w:rsid w:val="003C2702"/>
    <w:rsid w:val="003C291B"/>
    <w:rsid w:val="003C3191"/>
    <w:rsid w:val="003C4B7E"/>
    <w:rsid w:val="003C4FA6"/>
    <w:rsid w:val="003C5F4C"/>
    <w:rsid w:val="003C7806"/>
    <w:rsid w:val="003D05F9"/>
    <w:rsid w:val="003D0674"/>
    <w:rsid w:val="003D0FAA"/>
    <w:rsid w:val="003D109F"/>
    <w:rsid w:val="003D1736"/>
    <w:rsid w:val="003D1EAF"/>
    <w:rsid w:val="003D2478"/>
    <w:rsid w:val="003D28FD"/>
    <w:rsid w:val="003D2A9A"/>
    <w:rsid w:val="003D3146"/>
    <w:rsid w:val="003D318F"/>
    <w:rsid w:val="003D3C45"/>
    <w:rsid w:val="003D536F"/>
    <w:rsid w:val="003D5B1F"/>
    <w:rsid w:val="003D6486"/>
    <w:rsid w:val="003D7A9E"/>
    <w:rsid w:val="003D7DF0"/>
    <w:rsid w:val="003E0692"/>
    <w:rsid w:val="003E094D"/>
    <w:rsid w:val="003E15FA"/>
    <w:rsid w:val="003E3BEE"/>
    <w:rsid w:val="003E424D"/>
    <w:rsid w:val="003E454B"/>
    <w:rsid w:val="003E468C"/>
    <w:rsid w:val="003E527E"/>
    <w:rsid w:val="003E55E4"/>
    <w:rsid w:val="003E6833"/>
    <w:rsid w:val="003E6D21"/>
    <w:rsid w:val="003E74E3"/>
    <w:rsid w:val="003F05C7"/>
    <w:rsid w:val="003F0FA4"/>
    <w:rsid w:val="003F102B"/>
    <w:rsid w:val="003F1471"/>
    <w:rsid w:val="003F1EBA"/>
    <w:rsid w:val="003F24E4"/>
    <w:rsid w:val="003F2CD4"/>
    <w:rsid w:val="003F37E7"/>
    <w:rsid w:val="003F42F9"/>
    <w:rsid w:val="003F561F"/>
    <w:rsid w:val="003F5AD8"/>
    <w:rsid w:val="003F5E37"/>
    <w:rsid w:val="003F6BBE"/>
    <w:rsid w:val="003F6D25"/>
    <w:rsid w:val="003F6F2F"/>
    <w:rsid w:val="003F7408"/>
    <w:rsid w:val="004000E8"/>
    <w:rsid w:val="004001C9"/>
    <w:rsid w:val="00401AD9"/>
    <w:rsid w:val="00401EC9"/>
    <w:rsid w:val="004020B8"/>
    <w:rsid w:val="00402E2B"/>
    <w:rsid w:val="00402EF4"/>
    <w:rsid w:val="00403876"/>
    <w:rsid w:val="00403D52"/>
    <w:rsid w:val="00404EA8"/>
    <w:rsid w:val="0040512B"/>
    <w:rsid w:val="00405CA5"/>
    <w:rsid w:val="004066CA"/>
    <w:rsid w:val="00406844"/>
    <w:rsid w:val="00407CD3"/>
    <w:rsid w:val="00410134"/>
    <w:rsid w:val="00410B72"/>
    <w:rsid w:val="00410F18"/>
    <w:rsid w:val="00411753"/>
    <w:rsid w:val="004118D8"/>
    <w:rsid w:val="0041263E"/>
    <w:rsid w:val="00412DF4"/>
    <w:rsid w:val="00413014"/>
    <w:rsid w:val="00413AAC"/>
    <w:rsid w:val="00413E92"/>
    <w:rsid w:val="00414131"/>
    <w:rsid w:val="00414357"/>
    <w:rsid w:val="0041494B"/>
    <w:rsid w:val="004157DD"/>
    <w:rsid w:val="00415A27"/>
    <w:rsid w:val="00416006"/>
    <w:rsid w:val="004174BA"/>
    <w:rsid w:val="004179C2"/>
    <w:rsid w:val="00417CC3"/>
    <w:rsid w:val="00420117"/>
    <w:rsid w:val="004201E8"/>
    <w:rsid w:val="00420D9B"/>
    <w:rsid w:val="00421105"/>
    <w:rsid w:val="004211A6"/>
    <w:rsid w:val="00421C87"/>
    <w:rsid w:val="00422921"/>
    <w:rsid w:val="00422AA4"/>
    <w:rsid w:val="00422AEC"/>
    <w:rsid w:val="00423216"/>
    <w:rsid w:val="00423BA7"/>
    <w:rsid w:val="004242F4"/>
    <w:rsid w:val="004246DF"/>
    <w:rsid w:val="004252C5"/>
    <w:rsid w:val="004266D0"/>
    <w:rsid w:val="00426D07"/>
    <w:rsid w:val="00426DFE"/>
    <w:rsid w:val="00427248"/>
    <w:rsid w:val="00430309"/>
    <w:rsid w:val="004305D5"/>
    <w:rsid w:val="00430DFB"/>
    <w:rsid w:val="00431330"/>
    <w:rsid w:val="00431E75"/>
    <w:rsid w:val="004331B7"/>
    <w:rsid w:val="00435425"/>
    <w:rsid w:val="00435672"/>
    <w:rsid w:val="00435DAC"/>
    <w:rsid w:val="00436F38"/>
    <w:rsid w:val="00437219"/>
    <w:rsid w:val="00437447"/>
    <w:rsid w:val="00440ADA"/>
    <w:rsid w:val="0044182D"/>
    <w:rsid w:val="00441A92"/>
    <w:rsid w:val="00441CD4"/>
    <w:rsid w:val="00441F27"/>
    <w:rsid w:val="00442715"/>
    <w:rsid w:val="00442F1E"/>
    <w:rsid w:val="004431DC"/>
    <w:rsid w:val="0044382C"/>
    <w:rsid w:val="00443B36"/>
    <w:rsid w:val="00443E6E"/>
    <w:rsid w:val="0044473A"/>
    <w:rsid w:val="00444F56"/>
    <w:rsid w:val="00444F7B"/>
    <w:rsid w:val="004453B3"/>
    <w:rsid w:val="004459A7"/>
    <w:rsid w:val="00446488"/>
    <w:rsid w:val="00447AFE"/>
    <w:rsid w:val="0045147E"/>
    <w:rsid w:val="004517A8"/>
    <w:rsid w:val="004517AA"/>
    <w:rsid w:val="00451E26"/>
    <w:rsid w:val="00452CAC"/>
    <w:rsid w:val="00452D8B"/>
    <w:rsid w:val="00452F98"/>
    <w:rsid w:val="00453BC0"/>
    <w:rsid w:val="00454839"/>
    <w:rsid w:val="00455A89"/>
    <w:rsid w:val="00456F1D"/>
    <w:rsid w:val="00457565"/>
    <w:rsid w:val="00457B71"/>
    <w:rsid w:val="00460138"/>
    <w:rsid w:val="0046031C"/>
    <w:rsid w:val="00460337"/>
    <w:rsid w:val="00460D3D"/>
    <w:rsid w:val="00462B1E"/>
    <w:rsid w:val="00462F8D"/>
    <w:rsid w:val="004639E2"/>
    <w:rsid w:val="00463CBB"/>
    <w:rsid w:val="00463F26"/>
    <w:rsid w:val="0046419D"/>
    <w:rsid w:val="004643FE"/>
    <w:rsid w:val="00465519"/>
    <w:rsid w:val="004666B5"/>
    <w:rsid w:val="004669E2"/>
    <w:rsid w:val="0046719E"/>
    <w:rsid w:val="004700CB"/>
    <w:rsid w:val="00470346"/>
    <w:rsid w:val="00470712"/>
    <w:rsid w:val="0047095D"/>
    <w:rsid w:val="00470C31"/>
    <w:rsid w:val="00471DE0"/>
    <w:rsid w:val="0047290F"/>
    <w:rsid w:val="004734D0"/>
    <w:rsid w:val="004754CF"/>
    <w:rsid w:val="0047556B"/>
    <w:rsid w:val="004769EB"/>
    <w:rsid w:val="00477242"/>
    <w:rsid w:val="00477768"/>
    <w:rsid w:val="00481515"/>
    <w:rsid w:val="00481CB6"/>
    <w:rsid w:val="00482727"/>
    <w:rsid w:val="00482B11"/>
    <w:rsid w:val="00482BBC"/>
    <w:rsid w:val="00482E4B"/>
    <w:rsid w:val="0048348A"/>
    <w:rsid w:val="00483CE1"/>
    <w:rsid w:val="00483D2E"/>
    <w:rsid w:val="00484891"/>
    <w:rsid w:val="00485238"/>
    <w:rsid w:val="00485A4A"/>
    <w:rsid w:val="00486389"/>
    <w:rsid w:val="0048642E"/>
    <w:rsid w:val="004865BF"/>
    <w:rsid w:val="004901E6"/>
    <w:rsid w:val="0049094A"/>
    <w:rsid w:val="0049100B"/>
    <w:rsid w:val="00491FF7"/>
    <w:rsid w:val="00492090"/>
    <w:rsid w:val="00492BC5"/>
    <w:rsid w:val="00493D24"/>
    <w:rsid w:val="004947DD"/>
    <w:rsid w:val="00494EF7"/>
    <w:rsid w:val="00495EF3"/>
    <w:rsid w:val="00496265"/>
    <w:rsid w:val="004964F1"/>
    <w:rsid w:val="00497422"/>
    <w:rsid w:val="004A13A6"/>
    <w:rsid w:val="004A16BC"/>
    <w:rsid w:val="004A2B94"/>
    <w:rsid w:val="004A3C09"/>
    <w:rsid w:val="004A3C78"/>
    <w:rsid w:val="004A52B3"/>
    <w:rsid w:val="004A576A"/>
    <w:rsid w:val="004A6245"/>
    <w:rsid w:val="004A6581"/>
    <w:rsid w:val="004A664E"/>
    <w:rsid w:val="004A78EB"/>
    <w:rsid w:val="004A7D0B"/>
    <w:rsid w:val="004B1E84"/>
    <w:rsid w:val="004B3033"/>
    <w:rsid w:val="004B5868"/>
    <w:rsid w:val="004B5E31"/>
    <w:rsid w:val="004B6CFA"/>
    <w:rsid w:val="004B6F6A"/>
    <w:rsid w:val="004B6F73"/>
    <w:rsid w:val="004B6FBB"/>
    <w:rsid w:val="004B772D"/>
    <w:rsid w:val="004B7C0C"/>
    <w:rsid w:val="004C003E"/>
    <w:rsid w:val="004C0972"/>
    <w:rsid w:val="004C1268"/>
    <w:rsid w:val="004C1E9D"/>
    <w:rsid w:val="004C3898"/>
    <w:rsid w:val="004C39DB"/>
    <w:rsid w:val="004C3C88"/>
    <w:rsid w:val="004C43EB"/>
    <w:rsid w:val="004C446A"/>
    <w:rsid w:val="004C4C24"/>
    <w:rsid w:val="004C5C2E"/>
    <w:rsid w:val="004C75F2"/>
    <w:rsid w:val="004D133C"/>
    <w:rsid w:val="004D1B96"/>
    <w:rsid w:val="004D1E09"/>
    <w:rsid w:val="004D3048"/>
    <w:rsid w:val="004D36B1"/>
    <w:rsid w:val="004D4764"/>
    <w:rsid w:val="004D4B4E"/>
    <w:rsid w:val="004D6AB7"/>
    <w:rsid w:val="004D7EBD"/>
    <w:rsid w:val="004E1550"/>
    <w:rsid w:val="004E17C9"/>
    <w:rsid w:val="004E18B5"/>
    <w:rsid w:val="004E2680"/>
    <w:rsid w:val="004E28F9"/>
    <w:rsid w:val="004E29DA"/>
    <w:rsid w:val="004E3A7D"/>
    <w:rsid w:val="004E4294"/>
    <w:rsid w:val="004E462E"/>
    <w:rsid w:val="004E49B7"/>
    <w:rsid w:val="004E56DC"/>
    <w:rsid w:val="004E5992"/>
    <w:rsid w:val="004E7585"/>
    <w:rsid w:val="004E76B6"/>
    <w:rsid w:val="004E76F4"/>
    <w:rsid w:val="004E7DAF"/>
    <w:rsid w:val="004F0B4E"/>
    <w:rsid w:val="004F0B6C"/>
    <w:rsid w:val="004F17C6"/>
    <w:rsid w:val="004F1F64"/>
    <w:rsid w:val="004F2078"/>
    <w:rsid w:val="004F2545"/>
    <w:rsid w:val="004F28A1"/>
    <w:rsid w:val="004F2D1F"/>
    <w:rsid w:val="004F362D"/>
    <w:rsid w:val="004F4A00"/>
    <w:rsid w:val="004F4BAF"/>
    <w:rsid w:val="004F4DA3"/>
    <w:rsid w:val="004F5B42"/>
    <w:rsid w:val="004F7984"/>
    <w:rsid w:val="00501387"/>
    <w:rsid w:val="00501644"/>
    <w:rsid w:val="00501C29"/>
    <w:rsid w:val="005032DD"/>
    <w:rsid w:val="00504720"/>
    <w:rsid w:val="00504E22"/>
    <w:rsid w:val="00504F17"/>
    <w:rsid w:val="00504F2F"/>
    <w:rsid w:val="00504FF3"/>
    <w:rsid w:val="005053D5"/>
    <w:rsid w:val="005054D7"/>
    <w:rsid w:val="005054E1"/>
    <w:rsid w:val="00505F37"/>
    <w:rsid w:val="005061D0"/>
    <w:rsid w:val="005063E3"/>
    <w:rsid w:val="00506557"/>
    <w:rsid w:val="00506597"/>
    <w:rsid w:val="0050677A"/>
    <w:rsid w:val="005071E3"/>
    <w:rsid w:val="005108D8"/>
    <w:rsid w:val="005113DC"/>
    <w:rsid w:val="005116F9"/>
    <w:rsid w:val="00511DE2"/>
    <w:rsid w:val="00513781"/>
    <w:rsid w:val="005153A7"/>
    <w:rsid w:val="005160B1"/>
    <w:rsid w:val="00516184"/>
    <w:rsid w:val="00516CBE"/>
    <w:rsid w:val="0052063A"/>
    <w:rsid w:val="0052085F"/>
    <w:rsid w:val="00520D80"/>
    <w:rsid w:val="00521003"/>
    <w:rsid w:val="005215AF"/>
    <w:rsid w:val="005219CF"/>
    <w:rsid w:val="005220D9"/>
    <w:rsid w:val="005223E5"/>
    <w:rsid w:val="005248F1"/>
    <w:rsid w:val="00525238"/>
    <w:rsid w:val="005255A7"/>
    <w:rsid w:val="00526672"/>
    <w:rsid w:val="00526EC8"/>
    <w:rsid w:val="00527276"/>
    <w:rsid w:val="005273CA"/>
    <w:rsid w:val="00527426"/>
    <w:rsid w:val="0053187A"/>
    <w:rsid w:val="00532DBC"/>
    <w:rsid w:val="0053444D"/>
    <w:rsid w:val="00534B59"/>
    <w:rsid w:val="00534D96"/>
    <w:rsid w:val="0053551D"/>
    <w:rsid w:val="00535A7B"/>
    <w:rsid w:val="00536759"/>
    <w:rsid w:val="00536D8A"/>
    <w:rsid w:val="00537C62"/>
    <w:rsid w:val="00540294"/>
    <w:rsid w:val="00540403"/>
    <w:rsid w:val="0054050F"/>
    <w:rsid w:val="005405DC"/>
    <w:rsid w:val="0054093B"/>
    <w:rsid w:val="00540DD8"/>
    <w:rsid w:val="00540ECE"/>
    <w:rsid w:val="00540EF4"/>
    <w:rsid w:val="005416C5"/>
    <w:rsid w:val="00542E44"/>
    <w:rsid w:val="00543171"/>
    <w:rsid w:val="005444BA"/>
    <w:rsid w:val="00546655"/>
    <w:rsid w:val="00546933"/>
    <w:rsid w:val="00546970"/>
    <w:rsid w:val="00546AD2"/>
    <w:rsid w:val="00547289"/>
    <w:rsid w:val="005472AC"/>
    <w:rsid w:val="00547E1A"/>
    <w:rsid w:val="00547E4A"/>
    <w:rsid w:val="00547E82"/>
    <w:rsid w:val="0055161F"/>
    <w:rsid w:val="00551B72"/>
    <w:rsid w:val="00552BC9"/>
    <w:rsid w:val="00554463"/>
    <w:rsid w:val="00554C93"/>
    <w:rsid w:val="00554E19"/>
    <w:rsid w:val="0055678E"/>
    <w:rsid w:val="00560786"/>
    <w:rsid w:val="0056121F"/>
    <w:rsid w:val="00561323"/>
    <w:rsid w:val="00561785"/>
    <w:rsid w:val="00561BA7"/>
    <w:rsid w:val="005649B6"/>
    <w:rsid w:val="0056574E"/>
    <w:rsid w:val="005664DD"/>
    <w:rsid w:val="00566641"/>
    <w:rsid w:val="00570E28"/>
    <w:rsid w:val="005711B2"/>
    <w:rsid w:val="00572291"/>
    <w:rsid w:val="005724BF"/>
    <w:rsid w:val="00572505"/>
    <w:rsid w:val="00572587"/>
    <w:rsid w:val="0057266C"/>
    <w:rsid w:val="00572A80"/>
    <w:rsid w:val="00572EEB"/>
    <w:rsid w:val="0057391A"/>
    <w:rsid w:val="00573B91"/>
    <w:rsid w:val="005741E5"/>
    <w:rsid w:val="00574572"/>
    <w:rsid w:val="00574E05"/>
    <w:rsid w:val="00576549"/>
    <w:rsid w:val="00576B0D"/>
    <w:rsid w:val="0057704B"/>
    <w:rsid w:val="0057712C"/>
    <w:rsid w:val="00577232"/>
    <w:rsid w:val="00577EAC"/>
    <w:rsid w:val="00581009"/>
    <w:rsid w:val="005811DA"/>
    <w:rsid w:val="00582809"/>
    <w:rsid w:val="00582CC3"/>
    <w:rsid w:val="005830B4"/>
    <w:rsid w:val="00584160"/>
    <w:rsid w:val="00584420"/>
    <w:rsid w:val="0058457F"/>
    <w:rsid w:val="005859DB"/>
    <w:rsid w:val="00585C1A"/>
    <w:rsid w:val="005861CC"/>
    <w:rsid w:val="00586FBC"/>
    <w:rsid w:val="0058798C"/>
    <w:rsid w:val="00587FDB"/>
    <w:rsid w:val="005900FA"/>
    <w:rsid w:val="005909FB"/>
    <w:rsid w:val="00590CAA"/>
    <w:rsid w:val="005910EA"/>
    <w:rsid w:val="0059130E"/>
    <w:rsid w:val="005918D1"/>
    <w:rsid w:val="005935A4"/>
    <w:rsid w:val="00593D68"/>
    <w:rsid w:val="00593DAB"/>
    <w:rsid w:val="005944FD"/>
    <w:rsid w:val="005948C2"/>
    <w:rsid w:val="00594DCB"/>
    <w:rsid w:val="00595354"/>
    <w:rsid w:val="00595CF9"/>
    <w:rsid w:val="00595DCA"/>
    <w:rsid w:val="005960DD"/>
    <w:rsid w:val="0059779B"/>
    <w:rsid w:val="00597816"/>
    <w:rsid w:val="005A0DB4"/>
    <w:rsid w:val="005A117F"/>
    <w:rsid w:val="005A209A"/>
    <w:rsid w:val="005A2E2B"/>
    <w:rsid w:val="005A2F0B"/>
    <w:rsid w:val="005A3A25"/>
    <w:rsid w:val="005A3FBA"/>
    <w:rsid w:val="005A4409"/>
    <w:rsid w:val="005A46CC"/>
    <w:rsid w:val="005A46F0"/>
    <w:rsid w:val="005A5637"/>
    <w:rsid w:val="005A662D"/>
    <w:rsid w:val="005A70A0"/>
    <w:rsid w:val="005B0023"/>
    <w:rsid w:val="005B022C"/>
    <w:rsid w:val="005B1409"/>
    <w:rsid w:val="005B2E74"/>
    <w:rsid w:val="005B34A3"/>
    <w:rsid w:val="005B35D7"/>
    <w:rsid w:val="005B392A"/>
    <w:rsid w:val="005B3AA3"/>
    <w:rsid w:val="005B468F"/>
    <w:rsid w:val="005B47B8"/>
    <w:rsid w:val="005B4B16"/>
    <w:rsid w:val="005B5CA4"/>
    <w:rsid w:val="005B646A"/>
    <w:rsid w:val="005B6ED8"/>
    <w:rsid w:val="005B6F83"/>
    <w:rsid w:val="005B7643"/>
    <w:rsid w:val="005C03A3"/>
    <w:rsid w:val="005C2222"/>
    <w:rsid w:val="005C2517"/>
    <w:rsid w:val="005C3181"/>
    <w:rsid w:val="005C3EEE"/>
    <w:rsid w:val="005C55DB"/>
    <w:rsid w:val="005C5CA8"/>
    <w:rsid w:val="005C5EF1"/>
    <w:rsid w:val="005C61CF"/>
    <w:rsid w:val="005C67FB"/>
    <w:rsid w:val="005C6D97"/>
    <w:rsid w:val="005C6FDF"/>
    <w:rsid w:val="005C74FB"/>
    <w:rsid w:val="005C7A7E"/>
    <w:rsid w:val="005D01D2"/>
    <w:rsid w:val="005D06E0"/>
    <w:rsid w:val="005D0A2B"/>
    <w:rsid w:val="005D0EAD"/>
    <w:rsid w:val="005D0F8B"/>
    <w:rsid w:val="005D1602"/>
    <w:rsid w:val="005D2414"/>
    <w:rsid w:val="005D28EE"/>
    <w:rsid w:val="005D2907"/>
    <w:rsid w:val="005D2C41"/>
    <w:rsid w:val="005D42C9"/>
    <w:rsid w:val="005D56C0"/>
    <w:rsid w:val="005D66C8"/>
    <w:rsid w:val="005D6EF1"/>
    <w:rsid w:val="005E00A2"/>
    <w:rsid w:val="005E0AAD"/>
    <w:rsid w:val="005E1673"/>
    <w:rsid w:val="005E1D4B"/>
    <w:rsid w:val="005E20DF"/>
    <w:rsid w:val="005E2FCB"/>
    <w:rsid w:val="005E385F"/>
    <w:rsid w:val="005E3DB3"/>
    <w:rsid w:val="005E3F85"/>
    <w:rsid w:val="005E553A"/>
    <w:rsid w:val="005E5615"/>
    <w:rsid w:val="005E5B81"/>
    <w:rsid w:val="005E6144"/>
    <w:rsid w:val="005E62EF"/>
    <w:rsid w:val="005E6F34"/>
    <w:rsid w:val="005E7A70"/>
    <w:rsid w:val="005F00A6"/>
    <w:rsid w:val="005F147A"/>
    <w:rsid w:val="005F175F"/>
    <w:rsid w:val="005F1B70"/>
    <w:rsid w:val="005F24C6"/>
    <w:rsid w:val="005F2CB1"/>
    <w:rsid w:val="005F3025"/>
    <w:rsid w:val="005F3AAC"/>
    <w:rsid w:val="005F45C2"/>
    <w:rsid w:val="005F4B5A"/>
    <w:rsid w:val="005F618C"/>
    <w:rsid w:val="005F6D8A"/>
    <w:rsid w:val="005F70BD"/>
    <w:rsid w:val="006008D4"/>
    <w:rsid w:val="006009CD"/>
    <w:rsid w:val="00600D31"/>
    <w:rsid w:val="0060283C"/>
    <w:rsid w:val="006039A0"/>
    <w:rsid w:val="00604333"/>
    <w:rsid w:val="00604855"/>
    <w:rsid w:val="00604F14"/>
    <w:rsid w:val="00605CEC"/>
    <w:rsid w:val="0060661C"/>
    <w:rsid w:val="00607CEF"/>
    <w:rsid w:val="00610343"/>
    <w:rsid w:val="006108CD"/>
    <w:rsid w:val="00610E95"/>
    <w:rsid w:val="00611925"/>
    <w:rsid w:val="00611B83"/>
    <w:rsid w:val="00612375"/>
    <w:rsid w:val="00613257"/>
    <w:rsid w:val="0061376B"/>
    <w:rsid w:val="006164D5"/>
    <w:rsid w:val="006201F0"/>
    <w:rsid w:val="00620A71"/>
    <w:rsid w:val="00620D80"/>
    <w:rsid w:val="00621A8A"/>
    <w:rsid w:val="00622CAB"/>
    <w:rsid w:val="00623083"/>
    <w:rsid w:val="006234A6"/>
    <w:rsid w:val="00624164"/>
    <w:rsid w:val="006248AB"/>
    <w:rsid w:val="00625650"/>
    <w:rsid w:val="00625945"/>
    <w:rsid w:val="006272F2"/>
    <w:rsid w:val="00627488"/>
    <w:rsid w:val="00630001"/>
    <w:rsid w:val="00630932"/>
    <w:rsid w:val="00630C85"/>
    <w:rsid w:val="006311B3"/>
    <w:rsid w:val="0063164A"/>
    <w:rsid w:val="006318D7"/>
    <w:rsid w:val="00631DFE"/>
    <w:rsid w:val="00632236"/>
    <w:rsid w:val="0063284C"/>
    <w:rsid w:val="00634903"/>
    <w:rsid w:val="006359A2"/>
    <w:rsid w:val="00635DBB"/>
    <w:rsid w:val="00636398"/>
    <w:rsid w:val="006368D3"/>
    <w:rsid w:val="006368FA"/>
    <w:rsid w:val="00636AF7"/>
    <w:rsid w:val="006370A5"/>
    <w:rsid w:val="006376D4"/>
    <w:rsid w:val="006377EC"/>
    <w:rsid w:val="00640567"/>
    <w:rsid w:val="00640B25"/>
    <w:rsid w:val="00640B88"/>
    <w:rsid w:val="0064151F"/>
    <w:rsid w:val="00641533"/>
    <w:rsid w:val="0064208D"/>
    <w:rsid w:val="00643475"/>
    <w:rsid w:val="00643861"/>
    <w:rsid w:val="0064396A"/>
    <w:rsid w:val="00644274"/>
    <w:rsid w:val="00644872"/>
    <w:rsid w:val="006454D5"/>
    <w:rsid w:val="00645E3A"/>
    <w:rsid w:val="0064624E"/>
    <w:rsid w:val="00646AFE"/>
    <w:rsid w:val="00647B0F"/>
    <w:rsid w:val="00650AB9"/>
    <w:rsid w:val="0065110C"/>
    <w:rsid w:val="0065146B"/>
    <w:rsid w:val="00651738"/>
    <w:rsid w:val="00651A2B"/>
    <w:rsid w:val="00652C44"/>
    <w:rsid w:val="00653347"/>
    <w:rsid w:val="006535F9"/>
    <w:rsid w:val="00653656"/>
    <w:rsid w:val="00653765"/>
    <w:rsid w:val="00653DED"/>
    <w:rsid w:val="00653F40"/>
    <w:rsid w:val="00653F7F"/>
    <w:rsid w:val="006546C5"/>
    <w:rsid w:val="00654857"/>
    <w:rsid w:val="0065495D"/>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9D4"/>
    <w:rsid w:val="00661B06"/>
    <w:rsid w:val="006627A2"/>
    <w:rsid w:val="00663094"/>
    <w:rsid w:val="006634E6"/>
    <w:rsid w:val="00664F09"/>
    <w:rsid w:val="006655EE"/>
    <w:rsid w:val="0066592E"/>
    <w:rsid w:val="00667860"/>
    <w:rsid w:val="00667EE7"/>
    <w:rsid w:val="0067033E"/>
    <w:rsid w:val="00670922"/>
    <w:rsid w:val="00670BE1"/>
    <w:rsid w:val="0067218F"/>
    <w:rsid w:val="00672389"/>
    <w:rsid w:val="00673434"/>
    <w:rsid w:val="0067359F"/>
    <w:rsid w:val="0067387F"/>
    <w:rsid w:val="006741F2"/>
    <w:rsid w:val="006745CB"/>
    <w:rsid w:val="00674CC3"/>
    <w:rsid w:val="006754D7"/>
    <w:rsid w:val="006755A9"/>
    <w:rsid w:val="00675B04"/>
    <w:rsid w:val="00675C72"/>
    <w:rsid w:val="0067651A"/>
    <w:rsid w:val="0067684B"/>
    <w:rsid w:val="00676CF7"/>
    <w:rsid w:val="006771F9"/>
    <w:rsid w:val="006776D7"/>
    <w:rsid w:val="00677BFD"/>
    <w:rsid w:val="00681003"/>
    <w:rsid w:val="00681021"/>
    <w:rsid w:val="006817C9"/>
    <w:rsid w:val="006824C0"/>
    <w:rsid w:val="00683157"/>
    <w:rsid w:val="00683D10"/>
    <w:rsid w:val="00683DE9"/>
    <w:rsid w:val="00683ECE"/>
    <w:rsid w:val="00685058"/>
    <w:rsid w:val="00686F11"/>
    <w:rsid w:val="00687303"/>
    <w:rsid w:val="006903E1"/>
    <w:rsid w:val="00690449"/>
    <w:rsid w:val="00690454"/>
    <w:rsid w:val="0069210F"/>
    <w:rsid w:val="00692512"/>
    <w:rsid w:val="006938AF"/>
    <w:rsid w:val="006940AC"/>
    <w:rsid w:val="0069433E"/>
    <w:rsid w:val="00694430"/>
    <w:rsid w:val="00694522"/>
    <w:rsid w:val="00694822"/>
    <w:rsid w:val="006956B7"/>
    <w:rsid w:val="00695FC2"/>
    <w:rsid w:val="00696035"/>
    <w:rsid w:val="00696949"/>
    <w:rsid w:val="00696CB7"/>
    <w:rsid w:val="00697052"/>
    <w:rsid w:val="006A0799"/>
    <w:rsid w:val="006A261F"/>
    <w:rsid w:val="006A46FB"/>
    <w:rsid w:val="006A49E9"/>
    <w:rsid w:val="006A4ACA"/>
    <w:rsid w:val="006A4BA8"/>
    <w:rsid w:val="006A4E04"/>
    <w:rsid w:val="006A5E28"/>
    <w:rsid w:val="006A64F3"/>
    <w:rsid w:val="006A697B"/>
    <w:rsid w:val="006A7AFF"/>
    <w:rsid w:val="006B0262"/>
    <w:rsid w:val="006B1345"/>
    <w:rsid w:val="006B14C8"/>
    <w:rsid w:val="006B1620"/>
    <w:rsid w:val="006B1816"/>
    <w:rsid w:val="006B1CF2"/>
    <w:rsid w:val="006B2099"/>
    <w:rsid w:val="006B231F"/>
    <w:rsid w:val="006B24C8"/>
    <w:rsid w:val="006B2AE9"/>
    <w:rsid w:val="006B2F96"/>
    <w:rsid w:val="006B4614"/>
    <w:rsid w:val="006B471C"/>
    <w:rsid w:val="006B492A"/>
    <w:rsid w:val="006B4D60"/>
    <w:rsid w:val="006B50CF"/>
    <w:rsid w:val="006B6592"/>
    <w:rsid w:val="006B72B7"/>
    <w:rsid w:val="006C03B8"/>
    <w:rsid w:val="006C1A12"/>
    <w:rsid w:val="006C1F3A"/>
    <w:rsid w:val="006C2312"/>
    <w:rsid w:val="006C23FA"/>
    <w:rsid w:val="006C26E0"/>
    <w:rsid w:val="006C27A9"/>
    <w:rsid w:val="006C3734"/>
    <w:rsid w:val="006C3BFA"/>
    <w:rsid w:val="006C5831"/>
    <w:rsid w:val="006C5EC9"/>
    <w:rsid w:val="006C6059"/>
    <w:rsid w:val="006C6869"/>
    <w:rsid w:val="006C701A"/>
    <w:rsid w:val="006C70A2"/>
    <w:rsid w:val="006C7522"/>
    <w:rsid w:val="006D078B"/>
    <w:rsid w:val="006D0D28"/>
    <w:rsid w:val="006D25B6"/>
    <w:rsid w:val="006D2910"/>
    <w:rsid w:val="006D3300"/>
    <w:rsid w:val="006D4D5D"/>
    <w:rsid w:val="006D66DD"/>
    <w:rsid w:val="006D6B9A"/>
    <w:rsid w:val="006D6F08"/>
    <w:rsid w:val="006D7D07"/>
    <w:rsid w:val="006E062C"/>
    <w:rsid w:val="006E0790"/>
    <w:rsid w:val="006E089F"/>
    <w:rsid w:val="006E145E"/>
    <w:rsid w:val="006E1A6E"/>
    <w:rsid w:val="006E1C82"/>
    <w:rsid w:val="006E264B"/>
    <w:rsid w:val="006E28B7"/>
    <w:rsid w:val="006E2A6F"/>
    <w:rsid w:val="006E2A9B"/>
    <w:rsid w:val="006E3310"/>
    <w:rsid w:val="006E3CCD"/>
    <w:rsid w:val="006E4E39"/>
    <w:rsid w:val="006E565E"/>
    <w:rsid w:val="006E646A"/>
    <w:rsid w:val="006E673D"/>
    <w:rsid w:val="006E74C3"/>
    <w:rsid w:val="006E7D3B"/>
    <w:rsid w:val="006F058D"/>
    <w:rsid w:val="006F1863"/>
    <w:rsid w:val="006F1B70"/>
    <w:rsid w:val="006F2780"/>
    <w:rsid w:val="006F341D"/>
    <w:rsid w:val="006F3CDE"/>
    <w:rsid w:val="006F4C6B"/>
    <w:rsid w:val="006F55FA"/>
    <w:rsid w:val="006F579C"/>
    <w:rsid w:val="006F58D4"/>
    <w:rsid w:val="006F6582"/>
    <w:rsid w:val="006F75DF"/>
    <w:rsid w:val="007007CA"/>
    <w:rsid w:val="007031F6"/>
    <w:rsid w:val="0070346E"/>
    <w:rsid w:val="00704325"/>
    <w:rsid w:val="007045D6"/>
    <w:rsid w:val="0070482D"/>
    <w:rsid w:val="00704EDB"/>
    <w:rsid w:val="00704FFE"/>
    <w:rsid w:val="00706012"/>
    <w:rsid w:val="00706101"/>
    <w:rsid w:val="00707072"/>
    <w:rsid w:val="00707990"/>
    <w:rsid w:val="00707D61"/>
    <w:rsid w:val="00710102"/>
    <w:rsid w:val="00710267"/>
    <w:rsid w:val="00710F89"/>
    <w:rsid w:val="00710FD1"/>
    <w:rsid w:val="0071132A"/>
    <w:rsid w:val="00711E3C"/>
    <w:rsid w:val="00711EEB"/>
    <w:rsid w:val="00712287"/>
    <w:rsid w:val="00712772"/>
    <w:rsid w:val="00714379"/>
    <w:rsid w:val="007147AD"/>
    <w:rsid w:val="007148D3"/>
    <w:rsid w:val="007149DC"/>
    <w:rsid w:val="00714D42"/>
    <w:rsid w:val="00715B9A"/>
    <w:rsid w:val="00715E62"/>
    <w:rsid w:val="00715FA7"/>
    <w:rsid w:val="00716F1F"/>
    <w:rsid w:val="00720339"/>
    <w:rsid w:val="007203CA"/>
    <w:rsid w:val="0072078B"/>
    <w:rsid w:val="007208E8"/>
    <w:rsid w:val="00720D73"/>
    <w:rsid w:val="00722469"/>
    <w:rsid w:val="0072267F"/>
    <w:rsid w:val="00723C7F"/>
    <w:rsid w:val="007257D0"/>
    <w:rsid w:val="007266D7"/>
    <w:rsid w:val="00726EA6"/>
    <w:rsid w:val="00727208"/>
    <w:rsid w:val="00727680"/>
    <w:rsid w:val="0072782F"/>
    <w:rsid w:val="00730BE9"/>
    <w:rsid w:val="00730C39"/>
    <w:rsid w:val="007315C9"/>
    <w:rsid w:val="00731AC4"/>
    <w:rsid w:val="00732475"/>
    <w:rsid w:val="00733ED6"/>
    <w:rsid w:val="0073489A"/>
    <w:rsid w:val="007348B1"/>
    <w:rsid w:val="00735DE2"/>
    <w:rsid w:val="007362A6"/>
    <w:rsid w:val="00736D7D"/>
    <w:rsid w:val="00737DA0"/>
    <w:rsid w:val="007402F2"/>
    <w:rsid w:val="00740950"/>
    <w:rsid w:val="00740E58"/>
    <w:rsid w:val="00742812"/>
    <w:rsid w:val="007429D0"/>
    <w:rsid w:val="00743A7E"/>
    <w:rsid w:val="00743F60"/>
    <w:rsid w:val="007445A0"/>
    <w:rsid w:val="0074524B"/>
    <w:rsid w:val="0074594B"/>
    <w:rsid w:val="007459F5"/>
    <w:rsid w:val="00745DC3"/>
    <w:rsid w:val="0074675F"/>
    <w:rsid w:val="00747463"/>
    <w:rsid w:val="00747D8B"/>
    <w:rsid w:val="00747FE0"/>
    <w:rsid w:val="00750DAE"/>
    <w:rsid w:val="00750F79"/>
    <w:rsid w:val="00751228"/>
    <w:rsid w:val="00751BA4"/>
    <w:rsid w:val="007527CD"/>
    <w:rsid w:val="00752A2E"/>
    <w:rsid w:val="00753587"/>
    <w:rsid w:val="00753CA5"/>
    <w:rsid w:val="00753D8B"/>
    <w:rsid w:val="007541F8"/>
    <w:rsid w:val="00754644"/>
    <w:rsid w:val="00755169"/>
    <w:rsid w:val="00756488"/>
    <w:rsid w:val="007564AC"/>
    <w:rsid w:val="007568AD"/>
    <w:rsid w:val="007568CD"/>
    <w:rsid w:val="00756AE1"/>
    <w:rsid w:val="00756BE0"/>
    <w:rsid w:val="007571E1"/>
    <w:rsid w:val="00757A16"/>
    <w:rsid w:val="007604B2"/>
    <w:rsid w:val="00760945"/>
    <w:rsid w:val="007622CC"/>
    <w:rsid w:val="00762E75"/>
    <w:rsid w:val="00764FAD"/>
    <w:rsid w:val="00765281"/>
    <w:rsid w:val="00765551"/>
    <w:rsid w:val="007655CD"/>
    <w:rsid w:val="00766BAD"/>
    <w:rsid w:val="0076732B"/>
    <w:rsid w:val="00767BC2"/>
    <w:rsid w:val="00771D7C"/>
    <w:rsid w:val="007729A2"/>
    <w:rsid w:val="00773B0B"/>
    <w:rsid w:val="0077503E"/>
    <w:rsid w:val="007755F2"/>
    <w:rsid w:val="007758F6"/>
    <w:rsid w:val="00776183"/>
    <w:rsid w:val="00776714"/>
    <w:rsid w:val="00776971"/>
    <w:rsid w:val="0077719C"/>
    <w:rsid w:val="007771C9"/>
    <w:rsid w:val="007802F1"/>
    <w:rsid w:val="00780A80"/>
    <w:rsid w:val="00781071"/>
    <w:rsid w:val="0078177E"/>
    <w:rsid w:val="0078304C"/>
    <w:rsid w:val="0078312B"/>
    <w:rsid w:val="00783673"/>
    <w:rsid w:val="007839DD"/>
    <w:rsid w:val="007842B1"/>
    <w:rsid w:val="007843B0"/>
    <w:rsid w:val="00784C46"/>
    <w:rsid w:val="00785490"/>
    <w:rsid w:val="00786038"/>
    <w:rsid w:val="00786EDF"/>
    <w:rsid w:val="0078792A"/>
    <w:rsid w:val="00791415"/>
    <w:rsid w:val="00791E95"/>
    <w:rsid w:val="007922EA"/>
    <w:rsid w:val="007925EA"/>
    <w:rsid w:val="0079392F"/>
    <w:rsid w:val="00793CD8"/>
    <w:rsid w:val="00794104"/>
    <w:rsid w:val="00794680"/>
    <w:rsid w:val="00795A97"/>
    <w:rsid w:val="00795C92"/>
    <w:rsid w:val="00795EF9"/>
    <w:rsid w:val="00796203"/>
    <w:rsid w:val="00796231"/>
    <w:rsid w:val="007971A1"/>
    <w:rsid w:val="007972A1"/>
    <w:rsid w:val="007975D2"/>
    <w:rsid w:val="00797EEA"/>
    <w:rsid w:val="007A1CB3"/>
    <w:rsid w:val="007A2468"/>
    <w:rsid w:val="007A2725"/>
    <w:rsid w:val="007A306F"/>
    <w:rsid w:val="007A43A6"/>
    <w:rsid w:val="007A45DC"/>
    <w:rsid w:val="007A51DE"/>
    <w:rsid w:val="007A58A6"/>
    <w:rsid w:val="007A62B2"/>
    <w:rsid w:val="007A6C96"/>
    <w:rsid w:val="007A6DA6"/>
    <w:rsid w:val="007A7202"/>
    <w:rsid w:val="007A7351"/>
    <w:rsid w:val="007B03E5"/>
    <w:rsid w:val="007B1EC5"/>
    <w:rsid w:val="007B3D2D"/>
    <w:rsid w:val="007B4414"/>
    <w:rsid w:val="007B49B0"/>
    <w:rsid w:val="007B50AE"/>
    <w:rsid w:val="007B51DF"/>
    <w:rsid w:val="007B6589"/>
    <w:rsid w:val="007B6E7A"/>
    <w:rsid w:val="007B7F07"/>
    <w:rsid w:val="007C05DD"/>
    <w:rsid w:val="007C1B30"/>
    <w:rsid w:val="007C1B93"/>
    <w:rsid w:val="007C21B5"/>
    <w:rsid w:val="007C2B0D"/>
    <w:rsid w:val="007C3D18"/>
    <w:rsid w:val="007C43C8"/>
    <w:rsid w:val="007C4716"/>
    <w:rsid w:val="007C4B7C"/>
    <w:rsid w:val="007C5113"/>
    <w:rsid w:val="007C54E8"/>
    <w:rsid w:val="007C5B38"/>
    <w:rsid w:val="007C60BF"/>
    <w:rsid w:val="007C6A07"/>
    <w:rsid w:val="007C75A1"/>
    <w:rsid w:val="007C77A5"/>
    <w:rsid w:val="007C7AE5"/>
    <w:rsid w:val="007D04C3"/>
    <w:rsid w:val="007D04E5"/>
    <w:rsid w:val="007D0BFB"/>
    <w:rsid w:val="007D1BAE"/>
    <w:rsid w:val="007D3869"/>
    <w:rsid w:val="007D4B0B"/>
    <w:rsid w:val="007D5901"/>
    <w:rsid w:val="007D5BCA"/>
    <w:rsid w:val="007D615F"/>
    <w:rsid w:val="007D74E3"/>
    <w:rsid w:val="007D7526"/>
    <w:rsid w:val="007D75ED"/>
    <w:rsid w:val="007E0367"/>
    <w:rsid w:val="007E09E6"/>
    <w:rsid w:val="007E0E28"/>
    <w:rsid w:val="007E2C4F"/>
    <w:rsid w:val="007E30B0"/>
    <w:rsid w:val="007E36A6"/>
    <w:rsid w:val="007E4292"/>
    <w:rsid w:val="007E4610"/>
    <w:rsid w:val="007E4715"/>
    <w:rsid w:val="007E4780"/>
    <w:rsid w:val="007E48B6"/>
    <w:rsid w:val="007E4C7D"/>
    <w:rsid w:val="007E505B"/>
    <w:rsid w:val="007E53B4"/>
    <w:rsid w:val="007E6849"/>
    <w:rsid w:val="007E7091"/>
    <w:rsid w:val="007E7391"/>
    <w:rsid w:val="007E7C44"/>
    <w:rsid w:val="007F0C1D"/>
    <w:rsid w:val="007F0D3D"/>
    <w:rsid w:val="007F17EE"/>
    <w:rsid w:val="007F2747"/>
    <w:rsid w:val="007F357F"/>
    <w:rsid w:val="007F39DC"/>
    <w:rsid w:val="007F4070"/>
    <w:rsid w:val="007F47B5"/>
    <w:rsid w:val="007F4E55"/>
    <w:rsid w:val="007F5A46"/>
    <w:rsid w:val="007F6A3D"/>
    <w:rsid w:val="007F6CEF"/>
    <w:rsid w:val="007F753D"/>
    <w:rsid w:val="008000F0"/>
    <w:rsid w:val="00800104"/>
    <w:rsid w:val="00802096"/>
    <w:rsid w:val="00803086"/>
    <w:rsid w:val="00803FAE"/>
    <w:rsid w:val="0080442E"/>
    <w:rsid w:val="0080605F"/>
    <w:rsid w:val="00806509"/>
    <w:rsid w:val="00807442"/>
    <w:rsid w:val="00807786"/>
    <w:rsid w:val="00811FCB"/>
    <w:rsid w:val="0081220E"/>
    <w:rsid w:val="00812F96"/>
    <w:rsid w:val="00813637"/>
    <w:rsid w:val="00813E6A"/>
    <w:rsid w:val="0081583D"/>
    <w:rsid w:val="008158D6"/>
    <w:rsid w:val="0081696B"/>
    <w:rsid w:val="00817196"/>
    <w:rsid w:val="0082010E"/>
    <w:rsid w:val="0082168B"/>
    <w:rsid w:val="00822898"/>
    <w:rsid w:val="00822BBF"/>
    <w:rsid w:val="008235DB"/>
    <w:rsid w:val="00824102"/>
    <w:rsid w:val="00824199"/>
    <w:rsid w:val="00824804"/>
    <w:rsid w:val="00824AB4"/>
    <w:rsid w:val="00825C42"/>
    <w:rsid w:val="00825D25"/>
    <w:rsid w:val="00826700"/>
    <w:rsid w:val="00826E9D"/>
    <w:rsid w:val="008271BC"/>
    <w:rsid w:val="00827D6F"/>
    <w:rsid w:val="00831198"/>
    <w:rsid w:val="0083190E"/>
    <w:rsid w:val="00831BB5"/>
    <w:rsid w:val="0083212C"/>
    <w:rsid w:val="00832C52"/>
    <w:rsid w:val="00832FAD"/>
    <w:rsid w:val="00834185"/>
    <w:rsid w:val="008343E6"/>
    <w:rsid w:val="008354CB"/>
    <w:rsid w:val="00835687"/>
    <w:rsid w:val="00835C61"/>
    <w:rsid w:val="00836086"/>
    <w:rsid w:val="00836292"/>
    <w:rsid w:val="00836534"/>
    <w:rsid w:val="00837670"/>
    <w:rsid w:val="008376AC"/>
    <w:rsid w:val="0084014C"/>
    <w:rsid w:val="00840C01"/>
    <w:rsid w:val="008411B4"/>
    <w:rsid w:val="00841995"/>
    <w:rsid w:val="00841B77"/>
    <w:rsid w:val="008444E8"/>
    <w:rsid w:val="00844E80"/>
    <w:rsid w:val="008456A8"/>
    <w:rsid w:val="008458CF"/>
    <w:rsid w:val="00846FE7"/>
    <w:rsid w:val="008503D0"/>
    <w:rsid w:val="00850F16"/>
    <w:rsid w:val="008515C6"/>
    <w:rsid w:val="00851D99"/>
    <w:rsid w:val="00853E30"/>
    <w:rsid w:val="008557DB"/>
    <w:rsid w:val="008565BC"/>
    <w:rsid w:val="00856911"/>
    <w:rsid w:val="008569B1"/>
    <w:rsid w:val="0085789E"/>
    <w:rsid w:val="00861CD2"/>
    <w:rsid w:val="00862FC9"/>
    <w:rsid w:val="00863D3C"/>
    <w:rsid w:val="008677FD"/>
    <w:rsid w:val="008706D4"/>
    <w:rsid w:val="00870728"/>
    <w:rsid w:val="008707F5"/>
    <w:rsid w:val="00870F41"/>
    <w:rsid w:val="00870F8A"/>
    <w:rsid w:val="008719A4"/>
    <w:rsid w:val="00871D23"/>
    <w:rsid w:val="00872745"/>
    <w:rsid w:val="008732E7"/>
    <w:rsid w:val="0087362B"/>
    <w:rsid w:val="008742F6"/>
    <w:rsid w:val="00874312"/>
    <w:rsid w:val="00874333"/>
    <w:rsid w:val="0087437C"/>
    <w:rsid w:val="008748F7"/>
    <w:rsid w:val="00874A6D"/>
    <w:rsid w:val="00875CD7"/>
    <w:rsid w:val="0087613B"/>
    <w:rsid w:val="00876B4D"/>
    <w:rsid w:val="008770B9"/>
    <w:rsid w:val="00877F18"/>
    <w:rsid w:val="00877FFD"/>
    <w:rsid w:val="008810D3"/>
    <w:rsid w:val="008816F4"/>
    <w:rsid w:val="00881D8F"/>
    <w:rsid w:val="0088281F"/>
    <w:rsid w:val="008835E3"/>
    <w:rsid w:val="00884FF6"/>
    <w:rsid w:val="0088673B"/>
    <w:rsid w:val="008873E9"/>
    <w:rsid w:val="00890730"/>
    <w:rsid w:val="00891D41"/>
    <w:rsid w:val="0089356D"/>
    <w:rsid w:val="00894072"/>
    <w:rsid w:val="008941E3"/>
    <w:rsid w:val="00894393"/>
    <w:rsid w:val="008947DF"/>
    <w:rsid w:val="00894A88"/>
    <w:rsid w:val="00894DB3"/>
    <w:rsid w:val="00895386"/>
    <w:rsid w:val="0089547B"/>
    <w:rsid w:val="008961BB"/>
    <w:rsid w:val="00897571"/>
    <w:rsid w:val="00897BC9"/>
    <w:rsid w:val="00897F13"/>
    <w:rsid w:val="008A05CF"/>
    <w:rsid w:val="008A0745"/>
    <w:rsid w:val="008A0F46"/>
    <w:rsid w:val="008A177E"/>
    <w:rsid w:val="008A21FF"/>
    <w:rsid w:val="008A2CE2"/>
    <w:rsid w:val="008A30AC"/>
    <w:rsid w:val="008A44B8"/>
    <w:rsid w:val="008A4D50"/>
    <w:rsid w:val="008A51A8"/>
    <w:rsid w:val="008A54C7"/>
    <w:rsid w:val="008A5651"/>
    <w:rsid w:val="008A598E"/>
    <w:rsid w:val="008A5FD4"/>
    <w:rsid w:val="008A7249"/>
    <w:rsid w:val="008A75DA"/>
    <w:rsid w:val="008A77D8"/>
    <w:rsid w:val="008A7C6F"/>
    <w:rsid w:val="008B0483"/>
    <w:rsid w:val="008B0BE1"/>
    <w:rsid w:val="008B0C4D"/>
    <w:rsid w:val="008B120C"/>
    <w:rsid w:val="008B1835"/>
    <w:rsid w:val="008B18A4"/>
    <w:rsid w:val="008B1ABB"/>
    <w:rsid w:val="008B1C8E"/>
    <w:rsid w:val="008B2261"/>
    <w:rsid w:val="008B37F8"/>
    <w:rsid w:val="008B51A0"/>
    <w:rsid w:val="008B553C"/>
    <w:rsid w:val="008B592A"/>
    <w:rsid w:val="008B5F03"/>
    <w:rsid w:val="008B6AE7"/>
    <w:rsid w:val="008B6E8A"/>
    <w:rsid w:val="008B6FB7"/>
    <w:rsid w:val="008B77AA"/>
    <w:rsid w:val="008B7B5C"/>
    <w:rsid w:val="008C0C99"/>
    <w:rsid w:val="008C2017"/>
    <w:rsid w:val="008C3070"/>
    <w:rsid w:val="008C4958"/>
    <w:rsid w:val="008C4A95"/>
    <w:rsid w:val="008C4B41"/>
    <w:rsid w:val="008C4BAA"/>
    <w:rsid w:val="008C57C0"/>
    <w:rsid w:val="008C5A77"/>
    <w:rsid w:val="008C6AE8"/>
    <w:rsid w:val="008C7573"/>
    <w:rsid w:val="008D00A5"/>
    <w:rsid w:val="008D06A5"/>
    <w:rsid w:val="008D09AB"/>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2DEB"/>
    <w:rsid w:val="008E446B"/>
    <w:rsid w:val="008E4C09"/>
    <w:rsid w:val="008E542C"/>
    <w:rsid w:val="008E5492"/>
    <w:rsid w:val="008E64AA"/>
    <w:rsid w:val="008E6E35"/>
    <w:rsid w:val="008E784A"/>
    <w:rsid w:val="008F0773"/>
    <w:rsid w:val="008F0FC8"/>
    <w:rsid w:val="008F138B"/>
    <w:rsid w:val="008F1EAB"/>
    <w:rsid w:val="008F2EE4"/>
    <w:rsid w:val="008F32D5"/>
    <w:rsid w:val="008F33DC"/>
    <w:rsid w:val="008F35C2"/>
    <w:rsid w:val="008F3BF2"/>
    <w:rsid w:val="008F4019"/>
    <w:rsid w:val="008F477F"/>
    <w:rsid w:val="008F5530"/>
    <w:rsid w:val="008F6687"/>
    <w:rsid w:val="0090124F"/>
    <w:rsid w:val="0090134E"/>
    <w:rsid w:val="0090203D"/>
    <w:rsid w:val="00902350"/>
    <w:rsid w:val="0090308A"/>
    <w:rsid w:val="009031AE"/>
    <w:rsid w:val="0090336B"/>
    <w:rsid w:val="0090402C"/>
    <w:rsid w:val="009053AA"/>
    <w:rsid w:val="00905702"/>
    <w:rsid w:val="00905EA3"/>
    <w:rsid w:val="0090601B"/>
    <w:rsid w:val="0090632C"/>
    <w:rsid w:val="00906939"/>
    <w:rsid w:val="0090791C"/>
    <w:rsid w:val="009107FF"/>
    <w:rsid w:val="00910B7D"/>
    <w:rsid w:val="00911440"/>
    <w:rsid w:val="0091190B"/>
    <w:rsid w:val="00911DAB"/>
    <w:rsid w:val="00911DFB"/>
    <w:rsid w:val="00911ECF"/>
    <w:rsid w:val="0091232E"/>
    <w:rsid w:val="009130A2"/>
    <w:rsid w:val="00913607"/>
    <w:rsid w:val="00913627"/>
    <w:rsid w:val="009139D9"/>
    <w:rsid w:val="00914AD8"/>
    <w:rsid w:val="00915B5B"/>
    <w:rsid w:val="00915FE9"/>
    <w:rsid w:val="00916079"/>
    <w:rsid w:val="009172A6"/>
    <w:rsid w:val="0091754F"/>
    <w:rsid w:val="00917CE9"/>
    <w:rsid w:val="00920BF2"/>
    <w:rsid w:val="00922010"/>
    <w:rsid w:val="00922AC6"/>
    <w:rsid w:val="00923D96"/>
    <w:rsid w:val="00923E3E"/>
    <w:rsid w:val="00924FB0"/>
    <w:rsid w:val="00925D2F"/>
    <w:rsid w:val="009264E1"/>
    <w:rsid w:val="009273BD"/>
    <w:rsid w:val="00931055"/>
    <w:rsid w:val="009317CD"/>
    <w:rsid w:val="0093185C"/>
    <w:rsid w:val="00931AF2"/>
    <w:rsid w:val="00931BD9"/>
    <w:rsid w:val="009329CD"/>
    <w:rsid w:val="00934624"/>
    <w:rsid w:val="00934F13"/>
    <w:rsid w:val="0093537F"/>
    <w:rsid w:val="00935654"/>
    <w:rsid w:val="0093583F"/>
    <w:rsid w:val="009368F3"/>
    <w:rsid w:val="00937A62"/>
    <w:rsid w:val="00937AF9"/>
    <w:rsid w:val="00940122"/>
    <w:rsid w:val="009405D7"/>
    <w:rsid w:val="009413E7"/>
    <w:rsid w:val="00941636"/>
    <w:rsid w:val="00941BD7"/>
    <w:rsid w:val="00942D98"/>
    <w:rsid w:val="00942EE1"/>
    <w:rsid w:val="009430E9"/>
    <w:rsid w:val="00943742"/>
    <w:rsid w:val="0094471E"/>
    <w:rsid w:val="009450E7"/>
    <w:rsid w:val="009453FA"/>
    <w:rsid w:val="00945C05"/>
    <w:rsid w:val="00946194"/>
    <w:rsid w:val="00946871"/>
    <w:rsid w:val="00946945"/>
    <w:rsid w:val="00947713"/>
    <w:rsid w:val="00947B69"/>
    <w:rsid w:val="009505F8"/>
    <w:rsid w:val="00950BB3"/>
    <w:rsid w:val="00950DE7"/>
    <w:rsid w:val="00951274"/>
    <w:rsid w:val="009517BF"/>
    <w:rsid w:val="00952F48"/>
    <w:rsid w:val="0095338B"/>
    <w:rsid w:val="00953920"/>
    <w:rsid w:val="00953D47"/>
    <w:rsid w:val="00953DAB"/>
    <w:rsid w:val="0095447E"/>
    <w:rsid w:val="00954F09"/>
    <w:rsid w:val="00955F0C"/>
    <w:rsid w:val="0095643A"/>
    <w:rsid w:val="0095662E"/>
    <w:rsid w:val="0095681E"/>
    <w:rsid w:val="00956BE0"/>
    <w:rsid w:val="00956EBC"/>
    <w:rsid w:val="00956F97"/>
    <w:rsid w:val="009572D4"/>
    <w:rsid w:val="0096016B"/>
    <w:rsid w:val="00961921"/>
    <w:rsid w:val="00961CBB"/>
    <w:rsid w:val="00962C17"/>
    <w:rsid w:val="00963302"/>
    <w:rsid w:val="00963C1F"/>
    <w:rsid w:val="00964305"/>
    <w:rsid w:val="0096430A"/>
    <w:rsid w:val="0096554B"/>
    <w:rsid w:val="0096584A"/>
    <w:rsid w:val="00965A3E"/>
    <w:rsid w:val="00967EB5"/>
    <w:rsid w:val="00970112"/>
    <w:rsid w:val="0097087D"/>
    <w:rsid w:val="00970CBE"/>
    <w:rsid w:val="00971674"/>
    <w:rsid w:val="00971F08"/>
    <w:rsid w:val="009723FE"/>
    <w:rsid w:val="00972468"/>
    <w:rsid w:val="00972C67"/>
    <w:rsid w:val="00974EE4"/>
    <w:rsid w:val="009758E1"/>
    <w:rsid w:val="0097603D"/>
    <w:rsid w:val="00976709"/>
    <w:rsid w:val="009768E1"/>
    <w:rsid w:val="00976949"/>
    <w:rsid w:val="00976A85"/>
    <w:rsid w:val="00976C7D"/>
    <w:rsid w:val="00977043"/>
    <w:rsid w:val="00980477"/>
    <w:rsid w:val="00980A7F"/>
    <w:rsid w:val="00981410"/>
    <w:rsid w:val="0098145B"/>
    <w:rsid w:val="009818BA"/>
    <w:rsid w:val="00981C80"/>
    <w:rsid w:val="009839DF"/>
    <w:rsid w:val="00984694"/>
    <w:rsid w:val="00984F5C"/>
    <w:rsid w:val="00985243"/>
    <w:rsid w:val="00985253"/>
    <w:rsid w:val="009853B3"/>
    <w:rsid w:val="009856F0"/>
    <w:rsid w:val="00985CE2"/>
    <w:rsid w:val="00990391"/>
    <w:rsid w:val="00990630"/>
    <w:rsid w:val="00991761"/>
    <w:rsid w:val="0099239E"/>
    <w:rsid w:val="00994DCA"/>
    <w:rsid w:val="009952B6"/>
    <w:rsid w:val="009952B8"/>
    <w:rsid w:val="009960EC"/>
    <w:rsid w:val="009970DD"/>
    <w:rsid w:val="009979AA"/>
    <w:rsid w:val="009A044C"/>
    <w:rsid w:val="009A0FBA"/>
    <w:rsid w:val="009A15F6"/>
    <w:rsid w:val="009A1601"/>
    <w:rsid w:val="009A1B81"/>
    <w:rsid w:val="009A2EA9"/>
    <w:rsid w:val="009A3195"/>
    <w:rsid w:val="009A3416"/>
    <w:rsid w:val="009A3BB6"/>
    <w:rsid w:val="009A3DB5"/>
    <w:rsid w:val="009A44D8"/>
    <w:rsid w:val="009A462D"/>
    <w:rsid w:val="009A4647"/>
    <w:rsid w:val="009A5CBA"/>
    <w:rsid w:val="009B03EB"/>
    <w:rsid w:val="009B049D"/>
    <w:rsid w:val="009B1168"/>
    <w:rsid w:val="009B1588"/>
    <w:rsid w:val="009B1F30"/>
    <w:rsid w:val="009B3114"/>
    <w:rsid w:val="009B35D7"/>
    <w:rsid w:val="009B361F"/>
    <w:rsid w:val="009B3AC2"/>
    <w:rsid w:val="009B4438"/>
    <w:rsid w:val="009B4A8C"/>
    <w:rsid w:val="009B4DF4"/>
    <w:rsid w:val="009B564E"/>
    <w:rsid w:val="009B7AE8"/>
    <w:rsid w:val="009B7E87"/>
    <w:rsid w:val="009C0169"/>
    <w:rsid w:val="009C0283"/>
    <w:rsid w:val="009C14BE"/>
    <w:rsid w:val="009C1746"/>
    <w:rsid w:val="009C403E"/>
    <w:rsid w:val="009C442E"/>
    <w:rsid w:val="009C6A17"/>
    <w:rsid w:val="009C7D72"/>
    <w:rsid w:val="009D06EF"/>
    <w:rsid w:val="009D082D"/>
    <w:rsid w:val="009D0B59"/>
    <w:rsid w:val="009D2887"/>
    <w:rsid w:val="009D4511"/>
    <w:rsid w:val="009D4A4A"/>
    <w:rsid w:val="009D4FF0"/>
    <w:rsid w:val="009D555F"/>
    <w:rsid w:val="009D6262"/>
    <w:rsid w:val="009D6730"/>
    <w:rsid w:val="009D703C"/>
    <w:rsid w:val="009D718F"/>
    <w:rsid w:val="009D72B4"/>
    <w:rsid w:val="009D7AA7"/>
    <w:rsid w:val="009E03E0"/>
    <w:rsid w:val="009E068F"/>
    <w:rsid w:val="009E14E0"/>
    <w:rsid w:val="009E25AF"/>
    <w:rsid w:val="009E2C0D"/>
    <w:rsid w:val="009E35DB"/>
    <w:rsid w:val="009E36CC"/>
    <w:rsid w:val="009E390F"/>
    <w:rsid w:val="009E3A3F"/>
    <w:rsid w:val="009E407D"/>
    <w:rsid w:val="009E4374"/>
    <w:rsid w:val="009E4710"/>
    <w:rsid w:val="009E47A3"/>
    <w:rsid w:val="009E5C5F"/>
    <w:rsid w:val="009E5D09"/>
    <w:rsid w:val="009E5F52"/>
    <w:rsid w:val="009E7728"/>
    <w:rsid w:val="009E77BD"/>
    <w:rsid w:val="009F08F3"/>
    <w:rsid w:val="009F20DD"/>
    <w:rsid w:val="009F2F74"/>
    <w:rsid w:val="009F344F"/>
    <w:rsid w:val="009F4107"/>
    <w:rsid w:val="009F42F0"/>
    <w:rsid w:val="009F463A"/>
    <w:rsid w:val="009F4F73"/>
    <w:rsid w:val="009F509E"/>
    <w:rsid w:val="009F6809"/>
    <w:rsid w:val="009F7723"/>
    <w:rsid w:val="00A0030C"/>
    <w:rsid w:val="00A02F4E"/>
    <w:rsid w:val="00A031D8"/>
    <w:rsid w:val="00A048A8"/>
    <w:rsid w:val="00A04C78"/>
    <w:rsid w:val="00A04F49"/>
    <w:rsid w:val="00A06730"/>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7F63"/>
    <w:rsid w:val="00A20313"/>
    <w:rsid w:val="00A2193B"/>
    <w:rsid w:val="00A21C26"/>
    <w:rsid w:val="00A2268A"/>
    <w:rsid w:val="00A23192"/>
    <w:rsid w:val="00A2351A"/>
    <w:rsid w:val="00A2359A"/>
    <w:rsid w:val="00A2379B"/>
    <w:rsid w:val="00A24724"/>
    <w:rsid w:val="00A25890"/>
    <w:rsid w:val="00A264A9"/>
    <w:rsid w:val="00A26DCF"/>
    <w:rsid w:val="00A27662"/>
    <w:rsid w:val="00A27785"/>
    <w:rsid w:val="00A30187"/>
    <w:rsid w:val="00A31C13"/>
    <w:rsid w:val="00A339BD"/>
    <w:rsid w:val="00A339C6"/>
    <w:rsid w:val="00A3448A"/>
    <w:rsid w:val="00A3472C"/>
    <w:rsid w:val="00A34953"/>
    <w:rsid w:val="00A35023"/>
    <w:rsid w:val="00A352EE"/>
    <w:rsid w:val="00A36297"/>
    <w:rsid w:val="00A367C3"/>
    <w:rsid w:val="00A36E0B"/>
    <w:rsid w:val="00A37C7A"/>
    <w:rsid w:val="00A37D02"/>
    <w:rsid w:val="00A37D8C"/>
    <w:rsid w:val="00A4050F"/>
    <w:rsid w:val="00A41AC7"/>
    <w:rsid w:val="00A41BBD"/>
    <w:rsid w:val="00A41E2B"/>
    <w:rsid w:val="00A43B90"/>
    <w:rsid w:val="00A44017"/>
    <w:rsid w:val="00A45408"/>
    <w:rsid w:val="00A45B74"/>
    <w:rsid w:val="00A45C76"/>
    <w:rsid w:val="00A468B2"/>
    <w:rsid w:val="00A468D0"/>
    <w:rsid w:val="00A47E82"/>
    <w:rsid w:val="00A5079F"/>
    <w:rsid w:val="00A512C9"/>
    <w:rsid w:val="00A51942"/>
    <w:rsid w:val="00A51AE8"/>
    <w:rsid w:val="00A51AF2"/>
    <w:rsid w:val="00A52028"/>
    <w:rsid w:val="00A523E3"/>
    <w:rsid w:val="00A52919"/>
    <w:rsid w:val="00A52E1D"/>
    <w:rsid w:val="00A53C1E"/>
    <w:rsid w:val="00A53E36"/>
    <w:rsid w:val="00A5447F"/>
    <w:rsid w:val="00A54774"/>
    <w:rsid w:val="00A549EA"/>
    <w:rsid w:val="00A55752"/>
    <w:rsid w:val="00A55F14"/>
    <w:rsid w:val="00A56425"/>
    <w:rsid w:val="00A57D67"/>
    <w:rsid w:val="00A60101"/>
    <w:rsid w:val="00A6083C"/>
    <w:rsid w:val="00A60E03"/>
    <w:rsid w:val="00A61499"/>
    <w:rsid w:val="00A627A0"/>
    <w:rsid w:val="00A62A77"/>
    <w:rsid w:val="00A63483"/>
    <w:rsid w:val="00A63567"/>
    <w:rsid w:val="00A63728"/>
    <w:rsid w:val="00A643F7"/>
    <w:rsid w:val="00A651E4"/>
    <w:rsid w:val="00A657D7"/>
    <w:rsid w:val="00A659B3"/>
    <w:rsid w:val="00A65F87"/>
    <w:rsid w:val="00A660AC"/>
    <w:rsid w:val="00A67E6C"/>
    <w:rsid w:val="00A701BE"/>
    <w:rsid w:val="00A717B5"/>
    <w:rsid w:val="00A71B99"/>
    <w:rsid w:val="00A739D0"/>
    <w:rsid w:val="00A73B75"/>
    <w:rsid w:val="00A74858"/>
    <w:rsid w:val="00A75122"/>
    <w:rsid w:val="00A7554F"/>
    <w:rsid w:val="00A75EC6"/>
    <w:rsid w:val="00A761D4"/>
    <w:rsid w:val="00A772D6"/>
    <w:rsid w:val="00A77309"/>
    <w:rsid w:val="00A7763A"/>
    <w:rsid w:val="00A77EC4"/>
    <w:rsid w:val="00A8083D"/>
    <w:rsid w:val="00A81F9D"/>
    <w:rsid w:val="00A8304E"/>
    <w:rsid w:val="00A83733"/>
    <w:rsid w:val="00A84376"/>
    <w:rsid w:val="00A8441E"/>
    <w:rsid w:val="00A84900"/>
    <w:rsid w:val="00A84A44"/>
    <w:rsid w:val="00A84E84"/>
    <w:rsid w:val="00A84F23"/>
    <w:rsid w:val="00A85975"/>
    <w:rsid w:val="00A8659B"/>
    <w:rsid w:val="00A86649"/>
    <w:rsid w:val="00A867A4"/>
    <w:rsid w:val="00A86C08"/>
    <w:rsid w:val="00A87229"/>
    <w:rsid w:val="00A8732F"/>
    <w:rsid w:val="00A87AB5"/>
    <w:rsid w:val="00A87BD0"/>
    <w:rsid w:val="00A90AAF"/>
    <w:rsid w:val="00A90E6B"/>
    <w:rsid w:val="00A916C3"/>
    <w:rsid w:val="00A9237C"/>
    <w:rsid w:val="00A92879"/>
    <w:rsid w:val="00A92B56"/>
    <w:rsid w:val="00A939B8"/>
    <w:rsid w:val="00A93B35"/>
    <w:rsid w:val="00A93DB6"/>
    <w:rsid w:val="00A93F68"/>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6D3F"/>
    <w:rsid w:val="00AA7DE1"/>
    <w:rsid w:val="00AB0BC8"/>
    <w:rsid w:val="00AB110C"/>
    <w:rsid w:val="00AB11CA"/>
    <w:rsid w:val="00AB14D9"/>
    <w:rsid w:val="00AB17C6"/>
    <w:rsid w:val="00AB29AA"/>
    <w:rsid w:val="00AB2F04"/>
    <w:rsid w:val="00AB3670"/>
    <w:rsid w:val="00AB3CEC"/>
    <w:rsid w:val="00AB4073"/>
    <w:rsid w:val="00AB4AB8"/>
    <w:rsid w:val="00AB5A12"/>
    <w:rsid w:val="00AB655E"/>
    <w:rsid w:val="00AB67A7"/>
    <w:rsid w:val="00AB6DB3"/>
    <w:rsid w:val="00AB756A"/>
    <w:rsid w:val="00AB762E"/>
    <w:rsid w:val="00AC007F"/>
    <w:rsid w:val="00AC018B"/>
    <w:rsid w:val="00AC06AE"/>
    <w:rsid w:val="00AC0A31"/>
    <w:rsid w:val="00AC1208"/>
    <w:rsid w:val="00AC1624"/>
    <w:rsid w:val="00AC1E5E"/>
    <w:rsid w:val="00AC1EDF"/>
    <w:rsid w:val="00AC2985"/>
    <w:rsid w:val="00AC2DF3"/>
    <w:rsid w:val="00AC2ECD"/>
    <w:rsid w:val="00AC3119"/>
    <w:rsid w:val="00AC3178"/>
    <w:rsid w:val="00AC31CA"/>
    <w:rsid w:val="00AC3831"/>
    <w:rsid w:val="00AC3DDE"/>
    <w:rsid w:val="00AC440B"/>
    <w:rsid w:val="00AC4762"/>
    <w:rsid w:val="00AC49FB"/>
    <w:rsid w:val="00AC5A10"/>
    <w:rsid w:val="00AC651A"/>
    <w:rsid w:val="00AD009E"/>
    <w:rsid w:val="00AD0A1F"/>
    <w:rsid w:val="00AD0AA3"/>
    <w:rsid w:val="00AD10FC"/>
    <w:rsid w:val="00AD1613"/>
    <w:rsid w:val="00AD2EED"/>
    <w:rsid w:val="00AD3F94"/>
    <w:rsid w:val="00AD46AD"/>
    <w:rsid w:val="00AD4A5A"/>
    <w:rsid w:val="00AD4BEE"/>
    <w:rsid w:val="00AD63CC"/>
    <w:rsid w:val="00AE05E6"/>
    <w:rsid w:val="00AE19B4"/>
    <w:rsid w:val="00AE1C8B"/>
    <w:rsid w:val="00AE1D7A"/>
    <w:rsid w:val="00AE27AC"/>
    <w:rsid w:val="00AE40E0"/>
    <w:rsid w:val="00AE40E9"/>
    <w:rsid w:val="00AE4DBA"/>
    <w:rsid w:val="00AE4F07"/>
    <w:rsid w:val="00AE7450"/>
    <w:rsid w:val="00AE754A"/>
    <w:rsid w:val="00AE7F78"/>
    <w:rsid w:val="00AE7FB3"/>
    <w:rsid w:val="00AF116E"/>
    <w:rsid w:val="00AF1C5D"/>
    <w:rsid w:val="00AF23FE"/>
    <w:rsid w:val="00AF2763"/>
    <w:rsid w:val="00AF2CBA"/>
    <w:rsid w:val="00AF3F2A"/>
    <w:rsid w:val="00AF42D7"/>
    <w:rsid w:val="00AF44A4"/>
    <w:rsid w:val="00AF5433"/>
    <w:rsid w:val="00AF6813"/>
    <w:rsid w:val="00B006FE"/>
    <w:rsid w:val="00B007CB"/>
    <w:rsid w:val="00B01525"/>
    <w:rsid w:val="00B02197"/>
    <w:rsid w:val="00B02AA9"/>
    <w:rsid w:val="00B02C21"/>
    <w:rsid w:val="00B02ECB"/>
    <w:rsid w:val="00B02FA3"/>
    <w:rsid w:val="00B03A69"/>
    <w:rsid w:val="00B04539"/>
    <w:rsid w:val="00B05084"/>
    <w:rsid w:val="00B05D1F"/>
    <w:rsid w:val="00B06D00"/>
    <w:rsid w:val="00B06D18"/>
    <w:rsid w:val="00B0721B"/>
    <w:rsid w:val="00B07978"/>
    <w:rsid w:val="00B105E3"/>
    <w:rsid w:val="00B107A8"/>
    <w:rsid w:val="00B12C41"/>
    <w:rsid w:val="00B13DBD"/>
    <w:rsid w:val="00B1430F"/>
    <w:rsid w:val="00B15696"/>
    <w:rsid w:val="00B157F9"/>
    <w:rsid w:val="00B1655B"/>
    <w:rsid w:val="00B17D58"/>
    <w:rsid w:val="00B20158"/>
    <w:rsid w:val="00B20256"/>
    <w:rsid w:val="00B205A2"/>
    <w:rsid w:val="00B20842"/>
    <w:rsid w:val="00B2092C"/>
    <w:rsid w:val="00B20D09"/>
    <w:rsid w:val="00B21242"/>
    <w:rsid w:val="00B21BE2"/>
    <w:rsid w:val="00B22D16"/>
    <w:rsid w:val="00B238ED"/>
    <w:rsid w:val="00B23A4A"/>
    <w:rsid w:val="00B2509A"/>
    <w:rsid w:val="00B259D9"/>
    <w:rsid w:val="00B26664"/>
    <w:rsid w:val="00B26F6B"/>
    <w:rsid w:val="00B2763F"/>
    <w:rsid w:val="00B27AAC"/>
    <w:rsid w:val="00B3055B"/>
    <w:rsid w:val="00B3067E"/>
    <w:rsid w:val="00B30929"/>
    <w:rsid w:val="00B30A34"/>
    <w:rsid w:val="00B30D48"/>
    <w:rsid w:val="00B310A8"/>
    <w:rsid w:val="00B32467"/>
    <w:rsid w:val="00B33076"/>
    <w:rsid w:val="00B33194"/>
    <w:rsid w:val="00B34156"/>
    <w:rsid w:val="00B348E0"/>
    <w:rsid w:val="00B3642E"/>
    <w:rsid w:val="00B372AA"/>
    <w:rsid w:val="00B372FA"/>
    <w:rsid w:val="00B40445"/>
    <w:rsid w:val="00B40670"/>
    <w:rsid w:val="00B409E0"/>
    <w:rsid w:val="00B4108E"/>
    <w:rsid w:val="00B41888"/>
    <w:rsid w:val="00B41B21"/>
    <w:rsid w:val="00B41CA3"/>
    <w:rsid w:val="00B4249C"/>
    <w:rsid w:val="00B42BD0"/>
    <w:rsid w:val="00B4505A"/>
    <w:rsid w:val="00B458E2"/>
    <w:rsid w:val="00B458E7"/>
    <w:rsid w:val="00B45A52"/>
    <w:rsid w:val="00B46175"/>
    <w:rsid w:val="00B47451"/>
    <w:rsid w:val="00B502B2"/>
    <w:rsid w:val="00B51596"/>
    <w:rsid w:val="00B51AC9"/>
    <w:rsid w:val="00B51F6F"/>
    <w:rsid w:val="00B520F7"/>
    <w:rsid w:val="00B52FE7"/>
    <w:rsid w:val="00B530CA"/>
    <w:rsid w:val="00B53128"/>
    <w:rsid w:val="00B5358E"/>
    <w:rsid w:val="00B545FB"/>
    <w:rsid w:val="00B548B7"/>
    <w:rsid w:val="00B55D37"/>
    <w:rsid w:val="00B56721"/>
    <w:rsid w:val="00B56C21"/>
    <w:rsid w:val="00B56FE0"/>
    <w:rsid w:val="00B57589"/>
    <w:rsid w:val="00B57ED7"/>
    <w:rsid w:val="00B60B85"/>
    <w:rsid w:val="00B60BCA"/>
    <w:rsid w:val="00B610DB"/>
    <w:rsid w:val="00B63113"/>
    <w:rsid w:val="00B63225"/>
    <w:rsid w:val="00B64E9A"/>
    <w:rsid w:val="00B65A66"/>
    <w:rsid w:val="00B65BA8"/>
    <w:rsid w:val="00B664C7"/>
    <w:rsid w:val="00B664FC"/>
    <w:rsid w:val="00B67BEA"/>
    <w:rsid w:val="00B67E21"/>
    <w:rsid w:val="00B701D3"/>
    <w:rsid w:val="00B70D26"/>
    <w:rsid w:val="00B710D3"/>
    <w:rsid w:val="00B71366"/>
    <w:rsid w:val="00B719EC"/>
    <w:rsid w:val="00B72446"/>
    <w:rsid w:val="00B724A1"/>
    <w:rsid w:val="00B739F6"/>
    <w:rsid w:val="00B73FFC"/>
    <w:rsid w:val="00B747B2"/>
    <w:rsid w:val="00B75073"/>
    <w:rsid w:val="00B757D8"/>
    <w:rsid w:val="00B7583B"/>
    <w:rsid w:val="00B77490"/>
    <w:rsid w:val="00B77682"/>
    <w:rsid w:val="00B8047F"/>
    <w:rsid w:val="00B80FD0"/>
    <w:rsid w:val="00B81A6C"/>
    <w:rsid w:val="00B823C2"/>
    <w:rsid w:val="00B836F4"/>
    <w:rsid w:val="00B8371C"/>
    <w:rsid w:val="00B83D67"/>
    <w:rsid w:val="00B85DD8"/>
    <w:rsid w:val="00B85DE5"/>
    <w:rsid w:val="00B868BC"/>
    <w:rsid w:val="00B86C14"/>
    <w:rsid w:val="00B907FF"/>
    <w:rsid w:val="00B90F73"/>
    <w:rsid w:val="00B91364"/>
    <w:rsid w:val="00B917A2"/>
    <w:rsid w:val="00B91999"/>
    <w:rsid w:val="00B93B59"/>
    <w:rsid w:val="00B9406A"/>
    <w:rsid w:val="00B944FA"/>
    <w:rsid w:val="00B94D49"/>
    <w:rsid w:val="00B95679"/>
    <w:rsid w:val="00B95796"/>
    <w:rsid w:val="00B96CF1"/>
    <w:rsid w:val="00B975BD"/>
    <w:rsid w:val="00B97660"/>
    <w:rsid w:val="00B97F7E"/>
    <w:rsid w:val="00BA1F3F"/>
    <w:rsid w:val="00BA2280"/>
    <w:rsid w:val="00BA25AE"/>
    <w:rsid w:val="00BA2A08"/>
    <w:rsid w:val="00BA30A0"/>
    <w:rsid w:val="00BA33F1"/>
    <w:rsid w:val="00BA3519"/>
    <w:rsid w:val="00BA41CD"/>
    <w:rsid w:val="00BA4F8F"/>
    <w:rsid w:val="00BA56D2"/>
    <w:rsid w:val="00BA6680"/>
    <w:rsid w:val="00BA76E0"/>
    <w:rsid w:val="00BB13F3"/>
    <w:rsid w:val="00BB1B77"/>
    <w:rsid w:val="00BB1FF0"/>
    <w:rsid w:val="00BB2A25"/>
    <w:rsid w:val="00BB2FD5"/>
    <w:rsid w:val="00BB301D"/>
    <w:rsid w:val="00BB31A7"/>
    <w:rsid w:val="00BB3682"/>
    <w:rsid w:val="00BB40A7"/>
    <w:rsid w:val="00BB51E9"/>
    <w:rsid w:val="00BB52F5"/>
    <w:rsid w:val="00BB5D7C"/>
    <w:rsid w:val="00BB5FE8"/>
    <w:rsid w:val="00BB686F"/>
    <w:rsid w:val="00BB79EC"/>
    <w:rsid w:val="00BB7A76"/>
    <w:rsid w:val="00BC0BF4"/>
    <w:rsid w:val="00BC0FDC"/>
    <w:rsid w:val="00BC14C4"/>
    <w:rsid w:val="00BC3053"/>
    <w:rsid w:val="00BC34F7"/>
    <w:rsid w:val="00BC39AE"/>
    <w:rsid w:val="00BC4010"/>
    <w:rsid w:val="00BC40BF"/>
    <w:rsid w:val="00BC4371"/>
    <w:rsid w:val="00BC4D2E"/>
    <w:rsid w:val="00BC5C2D"/>
    <w:rsid w:val="00BC5D41"/>
    <w:rsid w:val="00BC5F98"/>
    <w:rsid w:val="00BD03AC"/>
    <w:rsid w:val="00BD1C34"/>
    <w:rsid w:val="00BD1E51"/>
    <w:rsid w:val="00BD349E"/>
    <w:rsid w:val="00BD38C5"/>
    <w:rsid w:val="00BD3FCF"/>
    <w:rsid w:val="00BD4307"/>
    <w:rsid w:val="00BD48AC"/>
    <w:rsid w:val="00BD4EC7"/>
    <w:rsid w:val="00BD508A"/>
    <w:rsid w:val="00BD5F1A"/>
    <w:rsid w:val="00BD66C7"/>
    <w:rsid w:val="00BD67EE"/>
    <w:rsid w:val="00BD6861"/>
    <w:rsid w:val="00BD7892"/>
    <w:rsid w:val="00BD7B43"/>
    <w:rsid w:val="00BD7F37"/>
    <w:rsid w:val="00BE019B"/>
    <w:rsid w:val="00BE0E97"/>
    <w:rsid w:val="00BE1234"/>
    <w:rsid w:val="00BE1B43"/>
    <w:rsid w:val="00BE2FA6"/>
    <w:rsid w:val="00BE320E"/>
    <w:rsid w:val="00BE333F"/>
    <w:rsid w:val="00BE349A"/>
    <w:rsid w:val="00BE35BE"/>
    <w:rsid w:val="00BE44FA"/>
    <w:rsid w:val="00BE4B1F"/>
    <w:rsid w:val="00BE7406"/>
    <w:rsid w:val="00BE7603"/>
    <w:rsid w:val="00BE791A"/>
    <w:rsid w:val="00BE7F14"/>
    <w:rsid w:val="00BF03D5"/>
    <w:rsid w:val="00BF1D83"/>
    <w:rsid w:val="00BF225D"/>
    <w:rsid w:val="00BF298D"/>
    <w:rsid w:val="00BF3279"/>
    <w:rsid w:val="00BF4C5D"/>
    <w:rsid w:val="00BF552F"/>
    <w:rsid w:val="00BF569B"/>
    <w:rsid w:val="00BF59C3"/>
    <w:rsid w:val="00BF6073"/>
    <w:rsid w:val="00BF68C6"/>
    <w:rsid w:val="00BF69AA"/>
    <w:rsid w:val="00BF74C7"/>
    <w:rsid w:val="00BF7A2B"/>
    <w:rsid w:val="00C00375"/>
    <w:rsid w:val="00C00455"/>
    <w:rsid w:val="00C01530"/>
    <w:rsid w:val="00C015F1"/>
    <w:rsid w:val="00C01853"/>
    <w:rsid w:val="00C01F33"/>
    <w:rsid w:val="00C02CC6"/>
    <w:rsid w:val="00C034C2"/>
    <w:rsid w:val="00C038A0"/>
    <w:rsid w:val="00C040F7"/>
    <w:rsid w:val="00C0413A"/>
    <w:rsid w:val="00C044AB"/>
    <w:rsid w:val="00C05706"/>
    <w:rsid w:val="00C05D22"/>
    <w:rsid w:val="00C06964"/>
    <w:rsid w:val="00C07377"/>
    <w:rsid w:val="00C074FF"/>
    <w:rsid w:val="00C07659"/>
    <w:rsid w:val="00C10106"/>
    <w:rsid w:val="00C10478"/>
    <w:rsid w:val="00C10772"/>
    <w:rsid w:val="00C107DE"/>
    <w:rsid w:val="00C10BCC"/>
    <w:rsid w:val="00C117DB"/>
    <w:rsid w:val="00C12107"/>
    <w:rsid w:val="00C12266"/>
    <w:rsid w:val="00C137B9"/>
    <w:rsid w:val="00C14D4B"/>
    <w:rsid w:val="00C154BB"/>
    <w:rsid w:val="00C165AB"/>
    <w:rsid w:val="00C207A4"/>
    <w:rsid w:val="00C207DF"/>
    <w:rsid w:val="00C21C05"/>
    <w:rsid w:val="00C225EC"/>
    <w:rsid w:val="00C237A6"/>
    <w:rsid w:val="00C237C9"/>
    <w:rsid w:val="00C23D6A"/>
    <w:rsid w:val="00C247C0"/>
    <w:rsid w:val="00C25A74"/>
    <w:rsid w:val="00C268E6"/>
    <w:rsid w:val="00C26970"/>
    <w:rsid w:val="00C279B5"/>
    <w:rsid w:val="00C27C45"/>
    <w:rsid w:val="00C27F29"/>
    <w:rsid w:val="00C306E0"/>
    <w:rsid w:val="00C30805"/>
    <w:rsid w:val="00C30B28"/>
    <w:rsid w:val="00C351F4"/>
    <w:rsid w:val="00C354D2"/>
    <w:rsid w:val="00C355C1"/>
    <w:rsid w:val="00C356ED"/>
    <w:rsid w:val="00C35FB3"/>
    <w:rsid w:val="00C35FEA"/>
    <w:rsid w:val="00C3719D"/>
    <w:rsid w:val="00C37A57"/>
    <w:rsid w:val="00C37AAC"/>
    <w:rsid w:val="00C37CB2"/>
    <w:rsid w:val="00C37CBB"/>
    <w:rsid w:val="00C37E75"/>
    <w:rsid w:val="00C37FEA"/>
    <w:rsid w:val="00C413F1"/>
    <w:rsid w:val="00C43248"/>
    <w:rsid w:val="00C44107"/>
    <w:rsid w:val="00C44382"/>
    <w:rsid w:val="00C44E36"/>
    <w:rsid w:val="00C4572D"/>
    <w:rsid w:val="00C46DE0"/>
    <w:rsid w:val="00C473A5"/>
    <w:rsid w:val="00C47431"/>
    <w:rsid w:val="00C507EA"/>
    <w:rsid w:val="00C50F27"/>
    <w:rsid w:val="00C5214E"/>
    <w:rsid w:val="00C53D78"/>
    <w:rsid w:val="00C5470F"/>
    <w:rsid w:val="00C54757"/>
    <w:rsid w:val="00C54995"/>
    <w:rsid w:val="00C54A24"/>
    <w:rsid w:val="00C54D0F"/>
    <w:rsid w:val="00C54D41"/>
    <w:rsid w:val="00C54E97"/>
    <w:rsid w:val="00C554F7"/>
    <w:rsid w:val="00C56205"/>
    <w:rsid w:val="00C56F45"/>
    <w:rsid w:val="00C57347"/>
    <w:rsid w:val="00C60783"/>
    <w:rsid w:val="00C63BD1"/>
    <w:rsid w:val="00C64672"/>
    <w:rsid w:val="00C65BBB"/>
    <w:rsid w:val="00C65CC7"/>
    <w:rsid w:val="00C6634E"/>
    <w:rsid w:val="00C66DD1"/>
    <w:rsid w:val="00C67681"/>
    <w:rsid w:val="00C67696"/>
    <w:rsid w:val="00C67E55"/>
    <w:rsid w:val="00C70697"/>
    <w:rsid w:val="00C707C0"/>
    <w:rsid w:val="00C70C56"/>
    <w:rsid w:val="00C71D44"/>
    <w:rsid w:val="00C71F5C"/>
    <w:rsid w:val="00C72051"/>
    <w:rsid w:val="00C72093"/>
    <w:rsid w:val="00C72EF4"/>
    <w:rsid w:val="00C74170"/>
    <w:rsid w:val="00C744FE"/>
    <w:rsid w:val="00C75D2F"/>
    <w:rsid w:val="00C76422"/>
    <w:rsid w:val="00C767BE"/>
    <w:rsid w:val="00C767C7"/>
    <w:rsid w:val="00C76E3C"/>
    <w:rsid w:val="00C7702C"/>
    <w:rsid w:val="00C7768D"/>
    <w:rsid w:val="00C77808"/>
    <w:rsid w:val="00C803C9"/>
    <w:rsid w:val="00C81402"/>
    <w:rsid w:val="00C81568"/>
    <w:rsid w:val="00C81CD0"/>
    <w:rsid w:val="00C820F4"/>
    <w:rsid w:val="00C83D23"/>
    <w:rsid w:val="00C83F2A"/>
    <w:rsid w:val="00C8429E"/>
    <w:rsid w:val="00C859B8"/>
    <w:rsid w:val="00C85A49"/>
    <w:rsid w:val="00C85CCE"/>
    <w:rsid w:val="00C85F58"/>
    <w:rsid w:val="00C87DC5"/>
    <w:rsid w:val="00C87F61"/>
    <w:rsid w:val="00C900DE"/>
    <w:rsid w:val="00C901E1"/>
    <w:rsid w:val="00C9027A"/>
    <w:rsid w:val="00C9068E"/>
    <w:rsid w:val="00C9138B"/>
    <w:rsid w:val="00C916B9"/>
    <w:rsid w:val="00C91AB4"/>
    <w:rsid w:val="00C91AD2"/>
    <w:rsid w:val="00C91B0D"/>
    <w:rsid w:val="00C91F5A"/>
    <w:rsid w:val="00C930E4"/>
    <w:rsid w:val="00C93814"/>
    <w:rsid w:val="00C939C4"/>
    <w:rsid w:val="00C93C4B"/>
    <w:rsid w:val="00C944AB"/>
    <w:rsid w:val="00C94636"/>
    <w:rsid w:val="00C94913"/>
    <w:rsid w:val="00C94937"/>
    <w:rsid w:val="00C95104"/>
    <w:rsid w:val="00C957DA"/>
    <w:rsid w:val="00C95B40"/>
    <w:rsid w:val="00C96C7F"/>
    <w:rsid w:val="00C96CC7"/>
    <w:rsid w:val="00C96E7F"/>
    <w:rsid w:val="00C97EA3"/>
    <w:rsid w:val="00CA1224"/>
    <w:rsid w:val="00CA1B38"/>
    <w:rsid w:val="00CA1ED8"/>
    <w:rsid w:val="00CA2433"/>
    <w:rsid w:val="00CA2FEF"/>
    <w:rsid w:val="00CA4FB3"/>
    <w:rsid w:val="00CA5B3D"/>
    <w:rsid w:val="00CA5CB7"/>
    <w:rsid w:val="00CA6675"/>
    <w:rsid w:val="00CA67D5"/>
    <w:rsid w:val="00CA6998"/>
    <w:rsid w:val="00CA6FCE"/>
    <w:rsid w:val="00CA7E6C"/>
    <w:rsid w:val="00CB0C5A"/>
    <w:rsid w:val="00CB18D4"/>
    <w:rsid w:val="00CB1F63"/>
    <w:rsid w:val="00CB23C8"/>
    <w:rsid w:val="00CB3AF2"/>
    <w:rsid w:val="00CB3D02"/>
    <w:rsid w:val="00CB4982"/>
    <w:rsid w:val="00CB5BD7"/>
    <w:rsid w:val="00CB6884"/>
    <w:rsid w:val="00CB7170"/>
    <w:rsid w:val="00CB73F7"/>
    <w:rsid w:val="00CC040E"/>
    <w:rsid w:val="00CC0BDB"/>
    <w:rsid w:val="00CC10C4"/>
    <w:rsid w:val="00CC111F"/>
    <w:rsid w:val="00CC12E1"/>
    <w:rsid w:val="00CC2011"/>
    <w:rsid w:val="00CC3C64"/>
    <w:rsid w:val="00CC3DB2"/>
    <w:rsid w:val="00CC3EA0"/>
    <w:rsid w:val="00CC445A"/>
    <w:rsid w:val="00CC4918"/>
    <w:rsid w:val="00CC4DD9"/>
    <w:rsid w:val="00CC50A9"/>
    <w:rsid w:val="00CC61A0"/>
    <w:rsid w:val="00CC67DC"/>
    <w:rsid w:val="00CC6837"/>
    <w:rsid w:val="00CC6AE9"/>
    <w:rsid w:val="00CC769C"/>
    <w:rsid w:val="00CC7B45"/>
    <w:rsid w:val="00CD0C3C"/>
    <w:rsid w:val="00CD0CC3"/>
    <w:rsid w:val="00CD0F60"/>
    <w:rsid w:val="00CD1188"/>
    <w:rsid w:val="00CD1252"/>
    <w:rsid w:val="00CD276E"/>
    <w:rsid w:val="00CD280A"/>
    <w:rsid w:val="00CD286D"/>
    <w:rsid w:val="00CD2ED1"/>
    <w:rsid w:val="00CD337B"/>
    <w:rsid w:val="00CD35EF"/>
    <w:rsid w:val="00CD465C"/>
    <w:rsid w:val="00CD5181"/>
    <w:rsid w:val="00CD5476"/>
    <w:rsid w:val="00CD5D8B"/>
    <w:rsid w:val="00CD6A89"/>
    <w:rsid w:val="00CD6B2E"/>
    <w:rsid w:val="00CD748E"/>
    <w:rsid w:val="00CE0424"/>
    <w:rsid w:val="00CE0628"/>
    <w:rsid w:val="00CE15EF"/>
    <w:rsid w:val="00CE25BD"/>
    <w:rsid w:val="00CE28CB"/>
    <w:rsid w:val="00CE2D3A"/>
    <w:rsid w:val="00CE371E"/>
    <w:rsid w:val="00CE3D1B"/>
    <w:rsid w:val="00CE3D4A"/>
    <w:rsid w:val="00CE59A9"/>
    <w:rsid w:val="00CE5E28"/>
    <w:rsid w:val="00CE7427"/>
    <w:rsid w:val="00CE7561"/>
    <w:rsid w:val="00CE7916"/>
    <w:rsid w:val="00CF063F"/>
    <w:rsid w:val="00CF079E"/>
    <w:rsid w:val="00CF0C10"/>
    <w:rsid w:val="00CF1354"/>
    <w:rsid w:val="00CF173C"/>
    <w:rsid w:val="00CF1A68"/>
    <w:rsid w:val="00CF2059"/>
    <w:rsid w:val="00CF2228"/>
    <w:rsid w:val="00CF3B1F"/>
    <w:rsid w:val="00CF3BF6"/>
    <w:rsid w:val="00CF56A7"/>
    <w:rsid w:val="00CF625B"/>
    <w:rsid w:val="00CF6483"/>
    <w:rsid w:val="00CF6658"/>
    <w:rsid w:val="00CF687E"/>
    <w:rsid w:val="00CF79BA"/>
    <w:rsid w:val="00D01749"/>
    <w:rsid w:val="00D032DC"/>
    <w:rsid w:val="00D0349B"/>
    <w:rsid w:val="00D0404E"/>
    <w:rsid w:val="00D05A3D"/>
    <w:rsid w:val="00D05E52"/>
    <w:rsid w:val="00D06B69"/>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A89"/>
    <w:rsid w:val="00D17DFE"/>
    <w:rsid w:val="00D2091B"/>
    <w:rsid w:val="00D20A3F"/>
    <w:rsid w:val="00D21B15"/>
    <w:rsid w:val="00D233AC"/>
    <w:rsid w:val="00D239A7"/>
    <w:rsid w:val="00D23F47"/>
    <w:rsid w:val="00D242DE"/>
    <w:rsid w:val="00D24489"/>
    <w:rsid w:val="00D24707"/>
    <w:rsid w:val="00D24ACA"/>
    <w:rsid w:val="00D24D53"/>
    <w:rsid w:val="00D26300"/>
    <w:rsid w:val="00D306BB"/>
    <w:rsid w:val="00D312F7"/>
    <w:rsid w:val="00D314AE"/>
    <w:rsid w:val="00D3194B"/>
    <w:rsid w:val="00D32140"/>
    <w:rsid w:val="00D3285D"/>
    <w:rsid w:val="00D331C2"/>
    <w:rsid w:val="00D34B62"/>
    <w:rsid w:val="00D36E71"/>
    <w:rsid w:val="00D373CA"/>
    <w:rsid w:val="00D37471"/>
    <w:rsid w:val="00D37D87"/>
    <w:rsid w:val="00D40586"/>
    <w:rsid w:val="00D40851"/>
    <w:rsid w:val="00D40B33"/>
    <w:rsid w:val="00D40BF8"/>
    <w:rsid w:val="00D42FC9"/>
    <w:rsid w:val="00D4318F"/>
    <w:rsid w:val="00D43359"/>
    <w:rsid w:val="00D438BF"/>
    <w:rsid w:val="00D440F8"/>
    <w:rsid w:val="00D4692C"/>
    <w:rsid w:val="00D477F6"/>
    <w:rsid w:val="00D507A2"/>
    <w:rsid w:val="00D50917"/>
    <w:rsid w:val="00D50B85"/>
    <w:rsid w:val="00D51C30"/>
    <w:rsid w:val="00D51E23"/>
    <w:rsid w:val="00D535D2"/>
    <w:rsid w:val="00D53AA5"/>
    <w:rsid w:val="00D54556"/>
    <w:rsid w:val="00D54597"/>
    <w:rsid w:val="00D546FF"/>
    <w:rsid w:val="00D547D1"/>
    <w:rsid w:val="00D55AD5"/>
    <w:rsid w:val="00D56299"/>
    <w:rsid w:val="00D57644"/>
    <w:rsid w:val="00D576CA"/>
    <w:rsid w:val="00D6129B"/>
    <w:rsid w:val="00D614D7"/>
    <w:rsid w:val="00D61AF5"/>
    <w:rsid w:val="00D61EED"/>
    <w:rsid w:val="00D62040"/>
    <w:rsid w:val="00D6209D"/>
    <w:rsid w:val="00D623FE"/>
    <w:rsid w:val="00D6276A"/>
    <w:rsid w:val="00D652B5"/>
    <w:rsid w:val="00D66155"/>
    <w:rsid w:val="00D6712D"/>
    <w:rsid w:val="00D67419"/>
    <w:rsid w:val="00D678AC"/>
    <w:rsid w:val="00D67AF0"/>
    <w:rsid w:val="00D70350"/>
    <w:rsid w:val="00D70404"/>
    <w:rsid w:val="00D708B0"/>
    <w:rsid w:val="00D708DB"/>
    <w:rsid w:val="00D721F8"/>
    <w:rsid w:val="00D72C34"/>
    <w:rsid w:val="00D72C93"/>
    <w:rsid w:val="00D73138"/>
    <w:rsid w:val="00D74F31"/>
    <w:rsid w:val="00D75F70"/>
    <w:rsid w:val="00D7630E"/>
    <w:rsid w:val="00D77B1D"/>
    <w:rsid w:val="00D8021F"/>
    <w:rsid w:val="00D80251"/>
    <w:rsid w:val="00D80383"/>
    <w:rsid w:val="00D804B9"/>
    <w:rsid w:val="00D81C8F"/>
    <w:rsid w:val="00D823C6"/>
    <w:rsid w:val="00D82551"/>
    <w:rsid w:val="00D82B6A"/>
    <w:rsid w:val="00D8327F"/>
    <w:rsid w:val="00D83AAE"/>
    <w:rsid w:val="00D83CBD"/>
    <w:rsid w:val="00D84D58"/>
    <w:rsid w:val="00D85F1C"/>
    <w:rsid w:val="00D863AE"/>
    <w:rsid w:val="00D86CA3"/>
    <w:rsid w:val="00D871CE"/>
    <w:rsid w:val="00D907F4"/>
    <w:rsid w:val="00D907FD"/>
    <w:rsid w:val="00D90F08"/>
    <w:rsid w:val="00D9196D"/>
    <w:rsid w:val="00D91EE4"/>
    <w:rsid w:val="00D92510"/>
    <w:rsid w:val="00D92982"/>
    <w:rsid w:val="00D92DE8"/>
    <w:rsid w:val="00D93A07"/>
    <w:rsid w:val="00D959D7"/>
    <w:rsid w:val="00D95EB9"/>
    <w:rsid w:val="00D97217"/>
    <w:rsid w:val="00D97299"/>
    <w:rsid w:val="00D97844"/>
    <w:rsid w:val="00D97CBF"/>
    <w:rsid w:val="00DA13B5"/>
    <w:rsid w:val="00DA305E"/>
    <w:rsid w:val="00DA45B7"/>
    <w:rsid w:val="00DA4A3E"/>
    <w:rsid w:val="00DA4E27"/>
    <w:rsid w:val="00DA5417"/>
    <w:rsid w:val="00DA56E8"/>
    <w:rsid w:val="00DA58CF"/>
    <w:rsid w:val="00DA64AC"/>
    <w:rsid w:val="00DA706E"/>
    <w:rsid w:val="00DA73A2"/>
    <w:rsid w:val="00DB0A9F"/>
    <w:rsid w:val="00DB0BC6"/>
    <w:rsid w:val="00DB1D15"/>
    <w:rsid w:val="00DB3544"/>
    <w:rsid w:val="00DB377D"/>
    <w:rsid w:val="00DB512B"/>
    <w:rsid w:val="00DC19D1"/>
    <w:rsid w:val="00DC2D36"/>
    <w:rsid w:val="00DC2E69"/>
    <w:rsid w:val="00DC2F52"/>
    <w:rsid w:val="00DC323F"/>
    <w:rsid w:val="00DC374C"/>
    <w:rsid w:val="00DC3DD0"/>
    <w:rsid w:val="00DC4304"/>
    <w:rsid w:val="00DC53EF"/>
    <w:rsid w:val="00DC5416"/>
    <w:rsid w:val="00DC57A2"/>
    <w:rsid w:val="00DC58FB"/>
    <w:rsid w:val="00DC5D4C"/>
    <w:rsid w:val="00DC64EA"/>
    <w:rsid w:val="00DC726D"/>
    <w:rsid w:val="00DC7560"/>
    <w:rsid w:val="00DC7D91"/>
    <w:rsid w:val="00DD1804"/>
    <w:rsid w:val="00DD1852"/>
    <w:rsid w:val="00DD1F43"/>
    <w:rsid w:val="00DD29EC"/>
    <w:rsid w:val="00DD3394"/>
    <w:rsid w:val="00DD39DB"/>
    <w:rsid w:val="00DD3B51"/>
    <w:rsid w:val="00DD4718"/>
    <w:rsid w:val="00DD5D69"/>
    <w:rsid w:val="00DD7683"/>
    <w:rsid w:val="00DE091C"/>
    <w:rsid w:val="00DE0F3E"/>
    <w:rsid w:val="00DE1094"/>
    <w:rsid w:val="00DE2001"/>
    <w:rsid w:val="00DE3A65"/>
    <w:rsid w:val="00DE3C20"/>
    <w:rsid w:val="00DE4330"/>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8A6"/>
    <w:rsid w:val="00DF4B0B"/>
    <w:rsid w:val="00DF50CA"/>
    <w:rsid w:val="00DF6AE3"/>
    <w:rsid w:val="00DF7000"/>
    <w:rsid w:val="00DF7241"/>
    <w:rsid w:val="00DF75BF"/>
    <w:rsid w:val="00E00931"/>
    <w:rsid w:val="00E01FE2"/>
    <w:rsid w:val="00E02FCE"/>
    <w:rsid w:val="00E03BE1"/>
    <w:rsid w:val="00E03F03"/>
    <w:rsid w:val="00E04496"/>
    <w:rsid w:val="00E04532"/>
    <w:rsid w:val="00E04CD5"/>
    <w:rsid w:val="00E051BA"/>
    <w:rsid w:val="00E06F06"/>
    <w:rsid w:val="00E07259"/>
    <w:rsid w:val="00E0737C"/>
    <w:rsid w:val="00E1101A"/>
    <w:rsid w:val="00E110E7"/>
    <w:rsid w:val="00E11389"/>
    <w:rsid w:val="00E114DE"/>
    <w:rsid w:val="00E11B20"/>
    <w:rsid w:val="00E12186"/>
    <w:rsid w:val="00E13C7B"/>
    <w:rsid w:val="00E14C0F"/>
    <w:rsid w:val="00E15571"/>
    <w:rsid w:val="00E15C1D"/>
    <w:rsid w:val="00E15F17"/>
    <w:rsid w:val="00E16693"/>
    <w:rsid w:val="00E16801"/>
    <w:rsid w:val="00E16883"/>
    <w:rsid w:val="00E17FA2"/>
    <w:rsid w:val="00E20C86"/>
    <w:rsid w:val="00E20D13"/>
    <w:rsid w:val="00E21953"/>
    <w:rsid w:val="00E21BDB"/>
    <w:rsid w:val="00E22330"/>
    <w:rsid w:val="00E22723"/>
    <w:rsid w:val="00E23CA0"/>
    <w:rsid w:val="00E25D62"/>
    <w:rsid w:val="00E267B5"/>
    <w:rsid w:val="00E26D08"/>
    <w:rsid w:val="00E26D73"/>
    <w:rsid w:val="00E3040B"/>
    <w:rsid w:val="00E308CF"/>
    <w:rsid w:val="00E30B5A"/>
    <w:rsid w:val="00E3123D"/>
    <w:rsid w:val="00E31461"/>
    <w:rsid w:val="00E31D43"/>
    <w:rsid w:val="00E32608"/>
    <w:rsid w:val="00E33317"/>
    <w:rsid w:val="00E34188"/>
    <w:rsid w:val="00E34B6E"/>
    <w:rsid w:val="00E35559"/>
    <w:rsid w:val="00E36CEA"/>
    <w:rsid w:val="00E36F52"/>
    <w:rsid w:val="00E3723A"/>
    <w:rsid w:val="00E37860"/>
    <w:rsid w:val="00E40614"/>
    <w:rsid w:val="00E40684"/>
    <w:rsid w:val="00E41191"/>
    <w:rsid w:val="00E4363A"/>
    <w:rsid w:val="00E43904"/>
    <w:rsid w:val="00E446F1"/>
    <w:rsid w:val="00E44776"/>
    <w:rsid w:val="00E46886"/>
    <w:rsid w:val="00E47AEF"/>
    <w:rsid w:val="00E503FE"/>
    <w:rsid w:val="00E50A1B"/>
    <w:rsid w:val="00E50E99"/>
    <w:rsid w:val="00E52B7A"/>
    <w:rsid w:val="00E52EA5"/>
    <w:rsid w:val="00E53B75"/>
    <w:rsid w:val="00E53ED7"/>
    <w:rsid w:val="00E53F04"/>
    <w:rsid w:val="00E54E3B"/>
    <w:rsid w:val="00E56B56"/>
    <w:rsid w:val="00E57565"/>
    <w:rsid w:val="00E604E9"/>
    <w:rsid w:val="00E60D33"/>
    <w:rsid w:val="00E61677"/>
    <w:rsid w:val="00E62BE1"/>
    <w:rsid w:val="00E63838"/>
    <w:rsid w:val="00E63990"/>
    <w:rsid w:val="00E64434"/>
    <w:rsid w:val="00E656C6"/>
    <w:rsid w:val="00E661F2"/>
    <w:rsid w:val="00E665C0"/>
    <w:rsid w:val="00E666BA"/>
    <w:rsid w:val="00E66F86"/>
    <w:rsid w:val="00E67C51"/>
    <w:rsid w:val="00E70B92"/>
    <w:rsid w:val="00E70C4B"/>
    <w:rsid w:val="00E7169E"/>
    <w:rsid w:val="00E72998"/>
    <w:rsid w:val="00E72DED"/>
    <w:rsid w:val="00E72EFC"/>
    <w:rsid w:val="00E75562"/>
    <w:rsid w:val="00E758EC"/>
    <w:rsid w:val="00E76600"/>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458"/>
    <w:rsid w:val="00E90E49"/>
    <w:rsid w:val="00E90EB2"/>
    <w:rsid w:val="00E917F9"/>
    <w:rsid w:val="00E9291C"/>
    <w:rsid w:val="00E93596"/>
    <w:rsid w:val="00E93D1B"/>
    <w:rsid w:val="00E93FFE"/>
    <w:rsid w:val="00E94155"/>
    <w:rsid w:val="00E941C7"/>
    <w:rsid w:val="00E94F8A"/>
    <w:rsid w:val="00E95643"/>
    <w:rsid w:val="00E95CC7"/>
    <w:rsid w:val="00E96351"/>
    <w:rsid w:val="00E9680B"/>
    <w:rsid w:val="00E9684B"/>
    <w:rsid w:val="00E96C1B"/>
    <w:rsid w:val="00E96CD6"/>
    <w:rsid w:val="00E9759A"/>
    <w:rsid w:val="00E97842"/>
    <w:rsid w:val="00EA0A0A"/>
    <w:rsid w:val="00EA1495"/>
    <w:rsid w:val="00EA1D4A"/>
    <w:rsid w:val="00EA1E9E"/>
    <w:rsid w:val="00EA2977"/>
    <w:rsid w:val="00EA349E"/>
    <w:rsid w:val="00EA3874"/>
    <w:rsid w:val="00EA3CDA"/>
    <w:rsid w:val="00EA4249"/>
    <w:rsid w:val="00EA55AB"/>
    <w:rsid w:val="00EA5EC1"/>
    <w:rsid w:val="00EA7A41"/>
    <w:rsid w:val="00EB077B"/>
    <w:rsid w:val="00EB1074"/>
    <w:rsid w:val="00EB1D0D"/>
    <w:rsid w:val="00EB1E7D"/>
    <w:rsid w:val="00EB2236"/>
    <w:rsid w:val="00EB470B"/>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3918"/>
    <w:rsid w:val="00EC4207"/>
    <w:rsid w:val="00EC42EC"/>
    <w:rsid w:val="00EC51B0"/>
    <w:rsid w:val="00EC5278"/>
    <w:rsid w:val="00EC5653"/>
    <w:rsid w:val="00EC71CE"/>
    <w:rsid w:val="00ED04BF"/>
    <w:rsid w:val="00ED1006"/>
    <w:rsid w:val="00ED1BE1"/>
    <w:rsid w:val="00ED3EC5"/>
    <w:rsid w:val="00ED5F13"/>
    <w:rsid w:val="00ED683B"/>
    <w:rsid w:val="00ED7128"/>
    <w:rsid w:val="00ED75B6"/>
    <w:rsid w:val="00EE0406"/>
    <w:rsid w:val="00EE05E2"/>
    <w:rsid w:val="00EE06F1"/>
    <w:rsid w:val="00EE0EAE"/>
    <w:rsid w:val="00EE3B7C"/>
    <w:rsid w:val="00EE5D1E"/>
    <w:rsid w:val="00EE619E"/>
    <w:rsid w:val="00EE61EA"/>
    <w:rsid w:val="00EE622E"/>
    <w:rsid w:val="00EE702E"/>
    <w:rsid w:val="00EE7D4C"/>
    <w:rsid w:val="00EF0A26"/>
    <w:rsid w:val="00EF18FE"/>
    <w:rsid w:val="00EF1D18"/>
    <w:rsid w:val="00EF243E"/>
    <w:rsid w:val="00EF2933"/>
    <w:rsid w:val="00EF2F40"/>
    <w:rsid w:val="00EF313F"/>
    <w:rsid w:val="00EF407B"/>
    <w:rsid w:val="00EF4A31"/>
    <w:rsid w:val="00EF4EB4"/>
    <w:rsid w:val="00EF53C6"/>
    <w:rsid w:val="00EF5787"/>
    <w:rsid w:val="00EF60D0"/>
    <w:rsid w:val="00EF7334"/>
    <w:rsid w:val="00EF7511"/>
    <w:rsid w:val="00EF77B3"/>
    <w:rsid w:val="00F00613"/>
    <w:rsid w:val="00F01A88"/>
    <w:rsid w:val="00F0258D"/>
    <w:rsid w:val="00F025DD"/>
    <w:rsid w:val="00F026D7"/>
    <w:rsid w:val="00F028F7"/>
    <w:rsid w:val="00F03099"/>
    <w:rsid w:val="00F03271"/>
    <w:rsid w:val="00F04295"/>
    <w:rsid w:val="00F05241"/>
    <w:rsid w:val="00F0528D"/>
    <w:rsid w:val="00F056C9"/>
    <w:rsid w:val="00F05799"/>
    <w:rsid w:val="00F05A82"/>
    <w:rsid w:val="00F06B01"/>
    <w:rsid w:val="00F06C60"/>
    <w:rsid w:val="00F06C67"/>
    <w:rsid w:val="00F06DFD"/>
    <w:rsid w:val="00F071D1"/>
    <w:rsid w:val="00F07533"/>
    <w:rsid w:val="00F0757C"/>
    <w:rsid w:val="00F1031E"/>
    <w:rsid w:val="00F10629"/>
    <w:rsid w:val="00F11097"/>
    <w:rsid w:val="00F11FA7"/>
    <w:rsid w:val="00F12985"/>
    <w:rsid w:val="00F15FA5"/>
    <w:rsid w:val="00F162D9"/>
    <w:rsid w:val="00F16467"/>
    <w:rsid w:val="00F209B7"/>
    <w:rsid w:val="00F20F5C"/>
    <w:rsid w:val="00F212E8"/>
    <w:rsid w:val="00F21CFB"/>
    <w:rsid w:val="00F22426"/>
    <w:rsid w:val="00F2376F"/>
    <w:rsid w:val="00F23D3C"/>
    <w:rsid w:val="00F23ED1"/>
    <w:rsid w:val="00F243D8"/>
    <w:rsid w:val="00F245F3"/>
    <w:rsid w:val="00F261AF"/>
    <w:rsid w:val="00F26EAA"/>
    <w:rsid w:val="00F27410"/>
    <w:rsid w:val="00F30828"/>
    <w:rsid w:val="00F30C2B"/>
    <w:rsid w:val="00F30DE0"/>
    <w:rsid w:val="00F30EB4"/>
    <w:rsid w:val="00F3102B"/>
    <w:rsid w:val="00F313D6"/>
    <w:rsid w:val="00F314F3"/>
    <w:rsid w:val="00F314F9"/>
    <w:rsid w:val="00F32710"/>
    <w:rsid w:val="00F33EA5"/>
    <w:rsid w:val="00F34465"/>
    <w:rsid w:val="00F35026"/>
    <w:rsid w:val="00F35433"/>
    <w:rsid w:val="00F3552A"/>
    <w:rsid w:val="00F35C82"/>
    <w:rsid w:val="00F36266"/>
    <w:rsid w:val="00F36FDA"/>
    <w:rsid w:val="00F37085"/>
    <w:rsid w:val="00F3779C"/>
    <w:rsid w:val="00F4039C"/>
    <w:rsid w:val="00F40F0C"/>
    <w:rsid w:val="00F413AF"/>
    <w:rsid w:val="00F41693"/>
    <w:rsid w:val="00F41866"/>
    <w:rsid w:val="00F41976"/>
    <w:rsid w:val="00F42A4F"/>
    <w:rsid w:val="00F436A9"/>
    <w:rsid w:val="00F43C77"/>
    <w:rsid w:val="00F44BA2"/>
    <w:rsid w:val="00F45DF1"/>
    <w:rsid w:val="00F45EC3"/>
    <w:rsid w:val="00F46EDE"/>
    <w:rsid w:val="00F47538"/>
    <w:rsid w:val="00F4766C"/>
    <w:rsid w:val="00F5026F"/>
    <w:rsid w:val="00F5060E"/>
    <w:rsid w:val="00F507D1"/>
    <w:rsid w:val="00F50E31"/>
    <w:rsid w:val="00F512BB"/>
    <w:rsid w:val="00F516B8"/>
    <w:rsid w:val="00F519CE"/>
    <w:rsid w:val="00F51ADA"/>
    <w:rsid w:val="00F51D37"/>
    <w:rsid w:val="00F53064"/>
    <w:rsid w:val="00F530E4"/>
    <w:rsid w:val="00F54E12"/>
    <w:rsid w:val="00F5507D"/>
    <w:rsid w:val="00F5546E"/>
    <w:rsid w:val="00F55819"/>
    <w:rsid w:val="00F56610"/>
    <w:rsid w:val="00F56E0B"/>
    <w:rsid w:val="00F60203"/>
    <w:rsid w:val="00F607C5"/>
    <w:rsid w:val="00F60DEA"/>
    <w:rsid w:val="00F61712"/>
    <w:rsid w:val="00F61FBC"/>
    <w:rsid w:val="00F627F7"/>
    <w:rsid w:val="00F6302A"/>
    <w:rsid w:val="00F6376F"/>
    <w:rsid w:val="00F638CA"/>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4203"/>
    <w:rsid w:val="00F7437D"/>
    <w:rsid w:val="00F74BB9"/>
    <w:rsid w:val="00F75199"/>
    <w:rsid w:val="00F75526"/>
    <w:rsid w:val="00F75582"/>
    <w:rsid w:val="00F756B5"/>
    <w:rsid w:val="00F765C2"/>
    <w:rsid w:val="00F7676F"/>
    <w:rsid w:val="00F76822"/>
    <w:rsid w:val="00F76EFA"/>
    <w:rsid w:val="00F77C77"/>
    <w:rsid w:val="00F8006D"/>
    <w:rsid w:val="00F8049D"/>
    <w:rsid w:val="00F804BE"/>
    <w:rsid w:val="00F8071D"/>
    <w:rsid w:val="00F8106C"/>
    <w:rsid w:val="00F817CE"/>
    <w:rsid w:val="00F819AE"/>
    <w:rsid w:val="00F8456C"/>
    <w:rsid w:val="00F84CC5"/>
    <w:rsid w:val="00F8580C"/>
    <w:rsid w:val="00F859D8"/>
    <w:rsid w:val="00F8655C"/>
    <w:rsid w:val="00F865C0"/>
    <w:rsid w:val="00F868F5"/>
    <w:rsid w:val="00F86BFC"/>
    <w:rsid w:val="00F87E2B"/>
    <w:rsid w:val="00F9056A"/>
    <w:rsid w:val="00F9070B"/>
    <w:rsid w:val="00F90F8D"/>
    <w:rsid w:val="00F91807"/>
    <w:rsid w:val="00F91BE5"/>
    <w:rsid w:val="00F921A3"/>
    <w:rsid w:val="00F9223D"/>
    <w:rsid w:val="00F92782"/>
    <w:rsid w:val="00F93AA9"/>
    <w:rsid w:val="00F93F75"/>
    <w:rsid w:val="00F94AE6"/>
    <w:rsid w:val="00F951AC"/>
    <w:rsid w:val="00F96985"/>
    <w:rsid w:val="00F96EF2"/>
    <w:rsid w:val="00F97838"/>
    <w:rsid w:val="00FA02A6"/>
    <w:rsid w:val="00FA07B1"/>
    <w:rsid w:val="00FA0899"/>
    <w:rsid w:val="00FA14B0"/>
    <w:rsid w:val="00FA1585"/>
    <w:rsid w:val="00FA2646"/>
    <w:rsid w:val="00FA2BB3"/>
    <w:rsid w:val="00FA3240"/>
    <w:rsid w:val="00FA34BF"/>
    <w:rsid w:val="00FA3FF9"/>
    <w:rsid w:val="00FA4944"/>
    <w:rsid w:val="00FA4C52"/>
    <w:rsid w:val="00FA4F1D"/>
    <w:rsid w:val="00FA503C"/>
    <w:rsid w:val="00FA6502"/>
    <w:rsid w:val="00FA6581"/>
    <w:rsid w:val="00FA6C8C"/>
    <w:rsid w:val="00FA7E1B"/>
    <w:rsid w:val="00FB0098"/>
    <w:rsid w:val="00FB0187"/>
    <w:rsid w:val="00FB0945"/>
    <w:rsid w:val="00FB22CA"/>
    <w:rsid w:val="00FB3829"/>
    <w:rsid w:val="00FB4C80"/>
    <w:rsid w:val="00FB54BE"/>
    <w:rsid w:val="00FB5BCE"/>
    <w:rsid w:val="00FB5F05"/>
    <w:rsid w:val="00FB6A6A"/>
    <w:rsid w:val="00FB6C8A"/>
    <w:rsid w:val="00FB70DD"/>
    <w:rsid w:val="00FB7B5F"/>
    <w:rsid w:val="00FB7D65"/>
    <w:rsid w:val="00FC053F"/>
    <w:rsid w:val="00FC0DC5"/>
    <w:rsid w:val="00FC10BF"/>
    <w:rsid w:val="00FC131E"/>
    <w:rsid w:val="00FC144D"/>
    <w:rsid w:val="00FC1940"/>
    <w:rsid w:val="00FC22FD"/>
    <w:rsid w:val="00FC3184"/>
    <w:rsid w:val="00FC3636"/>
    <w:rsid w:val="00FC3C23"/>
    <w:rsid w:val="00FC4188"/>
    <w:rsid w:val="00FC428F"/>
    <w:rsid w:val="00FC60D6"/>
    <w:rsid w:val="00FC7429"/>
    <w:rsid w:val="00FD07F6"/>
    <w:rsid w:val="00FD1018"/>
    <w:rsid w:val="00FD1780"/>
    <w:rsid w:val="00FD1EC8"/>
    <w:rsid w:val="00FD3709"/>
    <w:rsid w:val="00FD47ED"/>
    <w:rsid w:val="00FD6FAD"/>
    <w:rsid w:val="00FD731D"/>
    <w:rsid w:val="00FD74DB"/>
    <w:rsid w:val="00FD7660"/>
    <w:rsid w:val="00FE0655"/>
    <w:rsid w:val="00FE08C0"/>
    <w:rsid w:val="00FE1D83"/>
    <w:rsid w:val="00FE1EC1"/>
    <w:rsid w:val="00FE2365"/>
    <w:rsid w:val="00FE2459"/>
    <w:rsid w:val="00FE28C6"/>
    <w:rsid w:val="00FE2F87"/>
    <w:rsid w:val="00FE37D7"/>
    <w:rsid w:val="00FE3BF1"/>
    <w:rsid w:val="00FE3C1E"/>
    <w:rsid w:val="00FE3FC8"/>
    <w:rsid w:val="00FE46E5"/>
    <w:rsid w:val="00FE4781"/>
    <w:rsid w:val="00FE4C7B"/>
    <w:rsid w:val="00FE6705"/>
    <w:rsid w:val="00FE7336"/>
    <w:rsid w:val="00FE787C"/>
    <w:rsid w:val="00FE7BDD"/>
    <w:rsid w:val="00FF0198"/>
    <w:rsid w:val="00FF0B09"/>
    <w:rsid w:val="00FF14E1"/>
    <w:rsid w:val="00FF179E"/>
    <w:rsid w:val="00FF17D2"/>
    <w:rsid w:val="00FF1987"/>
    <w:rsid w:val="00FF23C7"/>
    <w:rsid w:val="00FF45A5"/>
    <w:rsid w:val="00FF5247"/>
    <w:rsid w:val="00FF59A5"/>
    <w:rsid w:val="00FF5A2B"/>
    <w:rsid w:val="00FF5B9B"/>
    <w:rsid w:val="00FF5C91"/>
    <w:rsid w:val="00FF5D03"/>
    <w:rsid w:val="00FF625E"/>
    <w:rsid w:val="0169A6A2"/>
    <w:rsid w:val="02FEA853"/>
    <w:rsid w:val="0652DEEC"/>
    <w:rsid w:val="0A476597"/>
    <w:rsid w:val="0AAAE0D9"/>
    <w:rsid w:val="10743B1C"/>
    <w:rsid w:val="137CDA39"/>
    <w:rsid w:val="162C86E7"/>
    <w:rsid w:val="18872F1F"/>
    <w:rsid w:val="1AAB3DC6"/>
    <w:rsid w:val="1BE283CE"/>
    <w:rsid w:val="1E62200D"/>
    <w:rsid w:val="23805251"/>
    <w:rsid w:val="29BABC5C"/>
    <w:rsid w:val="2CA6C56C"/>
    <w:rsid w:val="2D605D8E"/>
    <w:rsid w:val="302152C0"/>
    <w:rsid w:val="305462E8"/>
    <w:rsid w:val="34C25D87"/>
    <w:rsid w:val="3692193E"/>
    <w:rsid w:val="3698E7EE"/>
    <w:rsid w:val="3FA8E783"/>
    <w:rsid w:val="3FD5E9A8"/>
    <w:rsid w:val="42C792E3"/>
    <w:rsid w:val="462DAE45"/>
    <w:rsid w:val="48E40119"/>
    <w:rsid w:val="5283E1DE"/>
    <w:rsid w:val="53758539"/>
    <w:rsid w:val="53FB0ECC"/>
    <w:rsid w:val="54682956"/>
    <w:rsid w:val="5875EB35"/>
    <w:rsid w:val="5F3F9573"/>
    <w:rsid w:val="5F580D12"/>
    <w:rsid w:val="6094AB3E"/>
    <w:rsid w:val="61263F67"/>
    <w:rsid w:val="6503385D"/>
    <w:rsid w:val="6B4A4007"/>
    <w:rsid w:val="7090DE85"/>
    <w:rsid w:val="7C68A084"/>
    <w:rsid w:val="7C840EB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6C7BFD5C-48A1-44FA-8DEA-2A59DE0B1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0"/>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numbering" w:customStyle="1" w:styleId="CurrentList1">
    <w:name w:val="Current List1"/>
    <w:uiPriority w:val="99"/>
    <w:rsid w:val="005E6F34"/>
    <w:pPr>
      <w:numPr>
        <w:numId w:val="4"/>
      </w:numPr>
    </w:pPr>
  </w:style>
  <w:style w:type="numbering" w:customStyle="1" w:styleId="CurrentList2">
    <w:name w:val="Current List2"/>
    <w:uiPriority w:val="99"/>
    <w:rsid w:val="005E6F34"/>
    <w:pPr>
      <w:numPr>
        <w:numId w:val="19"/>
      </w:numPr>
    </w:pPr>
  </w:style>
  <w:style w:type="numbering" w:customStyle="1" w:styleId="CurrentList3">
    <w:name w:val="Current List3"/>
    <w:uiPriority w:val="99"/>
    <w:rsid w:val="005E6F34"/>
    <w:pPr>
      <w:numPr>
        <w:numId w:val="20"/>
      </w:numPr>
    </w:pPr>
  </w:style>
  <w:style w:type="numbering" w:customStyle="1" w:styleId="CurrentList4">
    <w:name w:val="Current List4"/>
    <w:uiPriority w:val="99"/>
    <w:rsid w:val="005E6F34"/>
    <w:pPr>
      <w:numPr>
        <w:numId w:val="21"/>
      </w:numPr>
    </w:pPr>
  </w:style>
  <w:style w:type="numbering" w:customStyle="1" w:styleId="CurrentList5">
    <w:name w:val="Current List5"/>
    <w:uiPriority w:val="99"/>
    <w:rsid w:val="005E6F34"/>
    <w:pPr>
      <w:numPr>
        <w:numId w:val="22"/>
      </w:numPr>
    </w:pPr>
  </w:style>
  <w:style w:type="numbering" w:customStyle="1" w:styleId="CurrentList6">
    <w:name w:val="Current List6"/>
    <w:uiPriority w:val="99"/>
    <w:rsid w:val="005E6F34"/>
    <w:pPr>
      <w:numPr>
        <w:numId w:val="23"/>
      </w:numPr>
    </w:pPr>
  </w:style>
  <w:style w:type="numbering" w:customStyle="1" w:styleId="CurrentList7">
    <w:name w:val="Current List7"/>
    <w:uiPriority w:val="99"/>
    <w:rsid w:val="005E6F34"/>
    <w:pPr>
      <w:numPr>
        <w:numId w:val="24"/>
      </w:numPr>
    </w:pPr>
  </w:style>
  <w:style w:type="numbering" w:customStyle="1" w:styleId="CurrentList8">
    <w:name w:val="Current List8"/>
    <w:uiPriority w:val="99"/>
    <w:rsid w:val="005E6F34"/>
    <w:pPr>
      <w:numPr>
        <w:numId w:val="25"/>
      </w:numPr>
    </w:pPr>
  </w:style>
  <w:style w:type="numbering" w:customStyle="1" w:styleId="CurrentList9">
    <w:name w:val="Current List9"/>
    <w:uiPriority w:val="99"/>
    <w:rsid w:val="005E6F34"/>
    <w:pPr>
      <w:numPr>
        <w:numId w:val="26"/>
      </w:numPr>
    </w:pPr>
  </w:style>
  <w:style w:type="numbering" w:customStyle="1" w:styleId="CurrentList10">
    <w:name w:val="Current List10"/>
    <w:uiPriority w:val="99"/>
    <w:rsid w:val="005E6F34"/>
    <w:pPr>
      <w:numPr>
        <w:numId w:val="27"/>
      </w:numPr>
    </w:pPr>
  </w:style>
  <w:style w:type="numbering" w:customStyle="1" w:styleId="CurrentList11">
    <w:name w:val="Current List11"/>
    <w:uiPriority w:val="99"/>
    <w:rsid w:val="005E6F34"/>
    <w:pPr>
      <w:numPr>
        <w:numId w:val="28"/>
      </w:numPr>
    </w:pPr>
  </w:style>
  <w:style w:type="numbering" w:customStyle="1" w:styleId="CurrentList12">
    <w:name w:val="Current List12"/>
    <w:uiPriority w:val="99"/>
    <w:rsid w:val="005E6F34"/>
    <w:pPr>
      <w:numPr>
        <w:numId w:val="29"/>
      </w:numPr>
    </w:pPr>
  </w:style>
  <w:style w:type="numbering" w:customStyle="1" w:styleId="CurrentList13">
    <w:name w:val="Current List13"/>
    <w:uiPriority w:val="99"/>
    <w:rsid w:val="005E6F3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330602067">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1806E9D-4A0E-4232-BF6E-8A3ECC9D5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1564</Words>
  <Characters>8917</Characters>
  <Application>Microsoft Office Word</Application>
  <DocSecurity>0</DocSecurity>
  <Lines>74</Lines>
  <Paragraphs>20</Paragraphs>
  <ScaleCrop>false</ScaleCrop>
  <Company>Ericsson</Company>
  <LinksUpToDate>false</LinksUpToDate>
  <CharactersWithSpaces>10461</CharactersWithSpaces>
  <SharedDoc>false</SharedDoc>
  <HLinks>
    <vt:vector size="48" baseType="variant">
      <vt:variant>
        <vt:i4>1835057</vt:i4>
      </vt:variant>
      <vt:variant>
        <vt:i4>26</vt:i4>
      </vt:variant>
      <vt:variant>
        <vt:i4>0</vt:i4>
      </vt:variant>
      <vt:variant>
        <vt:i4>5</vt:i4>
      </vt:variant>
      <vt:variant>
        <vt:lpwstr/>
      </vt:variant>
      <vt:variant>
        <vt:lpwstr>_Toc145963357</vt:lpwstr>
      </vt:variant>
      <vt:variant>
        <vt:i4>1835057</vt:i4>
      </vt:variant>
      <vt:variant>
        <vt:i4>23</vt:i4>
      </vt:variant>
      <vt:variant>
        <vt:i4>0</vt:i4>
      </vt:variant>
      <vt:variant>
        <vt:i4>5</vt:i4>
      </vt:variant>
      <vt:variant>
        <vt:lpwstr/>
      </vt:variant>
      <vt:variant>
        <vt:lpwstr>_Toc145963356</vt:lpwstr>
      </vt:variant>
      <vt:variant>
        <vt:i4>1835057</vt:i4>
      </vt:variant>
      <vt:variant>
        <vt:i4>20</vt:i4>
      </vt:variant>
      <vt:variant>
        <vt:i4>0</vt:i4>
      </vt:variant>
      <vt:variant>
        <vt:i4>5</vt:i4>
      </vt:variant>
      <vt:variant>
        <vt:lpwstr/>
      </vt:variant>
      <vt:variant>
        <vt:lpwstr>_Toc145963355</vt:lpwstr>
      </vt:variant>
      <vt:variant>
        <vt:i4>1835057</vt:i4>
      </vt:variant>
      <vt:variant>
        <vt:i4>14</vt:i4>
      </vt:variant>
      <vt:variant>
        <vt:i4>0</vt:i4>
      </vt:variant>
      <vt:variant>
        <vt:i4>5</vt:i4>
      </vt:variant>
      <vt:variant>
        <vt:lpwstr/>
      </vt:variant>
      <vt:variant>
        <vt:lpwstr>_Toc145963354</vt:lpwstr>
      </vt:variant>
      <vt:variant>
        <vt:i4>1835057</vt:i4>
      </vt:variant>
      <vt:variant>
        <vt:i4>11</vt:i4>
      </vt:variant>
      <vt:variant>
        <vt:i4>0</vt:i4>
      </vt:variant>
      <vt:variant>
        <vt:i4>5</vt:i4>
      </vt:variant>
      <vt:variant>
        <vt:lpwstr/>
      </vt:variant>
      <vt:variant>
        <vt:lpwstr>_Toc145963353</vt:lpwstr>
      </vt:variant>
      <vt:variant>
        <vt:i4>1835057</vt:i4>
      </vt:variant>
      <vt:variant>
        <vt:i4>8</vt:i4>
      </vt:variant>
      <vt:variant>
        <vt:i4>0</vt:i4>
      </vt:variant>
      <vt:variant>
        <vt:i4>5</vt:i4>
      </vt:variant>
      <vt:variant>
        <vt:lpwstr/>
      </vt:variant>
      <vt:variant>
        <vt:lpwstr>_Toc145963352</vt:lpwstr>
      </vt:variant>
      <vt:variant>
        <vt:i4>1835057</vt:i4>
      </vt:variant>
      <vt:variant>
        <vt:i4>5</vt:i4>
      </vt:variant>
      <vt:variant>
        <vt:i4>0</vt:i4>
      </vt:variant>
      <vt:variant>
        <vt:i4>5</vt:i4>
      </vt:variant>
      <vt:variant>
        <vt:lpwstr/>
      </vt:variant>
      <vt:variant>
        <vt:lpwstr>_Toc145963351</vt:lpwstr>
      </vt:variant>
      <vt:variant>
        <vt:i4>1835057</vt:i4>
      </vt:variant>
      <vt:variant>
        <vt:i4>2</vt:i4>
      </vt:variant>
      <vt:variant>
        <vt:i4>0</vt:i4>
      </vt:variant>
      <vt:variant>
        <vt:i4>5</vt:i4>
      </vt:variant>
      <vt:variant>
        <vt:lpwstr/>
      </vt:variant>
      <vt:variant>
        <vt:lpwstr>_Toc145963350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137</cp:revision>
  <cp:lastPrinted>2020-10-24T13:47:00Z</cp:lastPrinted>
  <dcterms:created xsi:type="dcterms:W3CDTF">2023-09-14T20:40:00Z</dcterms:created>
  <dcterms:modified xsi:type="dcterms:W3CDTF">2023-09-28T20:27:00Z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